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55" w:rsidRPr="00C70E55" w:rsidRDefault="00C70E55" w:rsidP="0055221B">
      <w:pPr>
        <w:spacing w:before="540"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0E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Статистический анализ дифференциации </w:t>
      </w:r>
      <w:r w:rsidR="008F3E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доходам и уровню</w:t>
      </w:r>
      <w:r w:rsidRPr="00C70E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бедности населения Российской Федерации</w:t>
      </w:r>
    </w:p>
    <w:p w:rsidR="002439F9" w:rsidRPr="00C70E55" w:rsidRDefault="00C70E55" w:rsidP="00C70E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C70E55">
        <w:rPr>
          <w:rFonts w:ascii="Times New Roman" w:hAnsi="Times New Roman" w:cs="Times New Roman"/>
          <w:i/>
          <w:sz w:val="24"/>
        </w:rPr>
        <w:t>Логутенкова</w:t>
      </w:r>
      <w:proofErr w:type="spellEnd"/>
      <w:r w:rsidRPr="00C70E55">
        <w:rPr>
          <w:rFonts w:ascii="Times New Roman" w:hAnsi="Times New Roman" w:cs="Times New Roman"/>
          <w:i/>
          <w:sz w:val="24"/>
        </w:rPr>
        <w:t xml:space="preserve"> Дарья Алексеевна</w:t>
      </w:r>
    </w:p>
    <w:p w:rsidR="00C70E55" w:rsidRPr="00C70E55" w:rsidRDefault="00C70E55" w:rsidP="00C70E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70E55">
        <w:rPr>
          <w:rFonts w:ascii="Times New Roman" w:hAnsi="Times New Roman" w:cs="Times New Roman"/>
          <w:i/>
          <w:sz w:val="24"/>
        </w:rPr>
        <w:t>Смоленский филиал РЭУ им. Г.В. Плеханова</w:t>
      </w:r>
    </w:p>
    <w:p w:rsidR="00C70E55" w:rsidRDefault="004349E1" w:rsidP="00C70E55">
      <w:pPr>
        <w:shd w:val="clear" w:color="auto" w:fill="FFFFFF" w:themeFill="background1"/>
        <w:spacing w:after="0" w:line="240" w:lineRule="auto"/>
        <w:jc w:val="right"/>
      </w:pPr>
      <w:hyperlink r:id="rId9" w:history="1">
        <w:r w:rsidR="00C70E55" w:rsidRPr="00C70E55">
          <w:rPr>
            <w:rStyle w:val="a3"/>
            <w:rFonts w:ascii="Times New Roman" w:hAnsi="Times New Roman" w:cs="Times New Roman"/>
            <w:i/>
            <w:color w:val="000000" w:themeColor="text1"/>
            <w:sz w:val="24"/>
            <w:u w:val="none"/>
            <w:lang w:val="en-US"/>
          </w:rPr>
          <w:t>dashavjazma</w:t>
        </w:r>
        <w:r w:rsidR="00C70E55" w:rsidRPr="00C70E55">
          <w:rPr>
            <w:rStyle w:val="a3"/>
            <w:rFonts w:ascii="Times New Roman" w:hAnsi="Times New Roman" w:cs="Times New Roman"/>
            <w:i/>
            <w:color w:val="000000" w:themeColor="text1"/>
            <w:sz w:val="24"/>
            <w:u w:val="none"/>
          </w:rPr>
          <w:t>@</w:t>
        </w:r>
        <w:r w:rsidR="00C70E55" w:rsidRPr="00C70E55">
          <w:rPr>
            <w:rStyle w:val="a3"/>
            <w:rFonts w:ascii="Times New Roman" w:hAnsi="Times New Roman" w:cs="Times New Roman"/>
            <w:i/>
            <w:color w:val="000000" w:themeColor="text1"/>
            <w:sz w:val="24"/>
            <w:u w:val="none"/>
            <w:lang w:val="en-US"/>
          </w:rPr>
          <w:t>yandex</w:t>
        </w:r>
        <w:r w:rsidR="00C70E55" w:rsidRPr="00C70E55">
          <w:rPr>
            <w:rStyle w:val="a3"/>
            <w:rFonts w:ascii="Times New Roman" w:hAnsi="Times New Roman" w:cs="Times New Roman"/>
            <w:i/>
            <w:color w:val="000000" w:themeColor="text1"/>
            <w:sz w:val="24"/>
            <w:u w:val="none"/>
          </w:rPr>
          <w:t>.</w:t>
        </w:r>
        <w:r w:rsidR="00C70E55" w:rsidRPr="00C70E55">
          <w:rPr>
            <w:rStyle w:val="a3"/>
            <w:rFonts w:ascii="Times New Roman" w:hAnsi="Times New Roman" w:cs="Times New Roman"/>
            <w:i/>
            <w:color w:val="000000" w:themeColor="text1"/>
            <w:sz w:val="24"/>
            <w:u w:val="none"/>
            <w:lang w:val="en-US"/>
          </w:rPr>
          <w:t>ru</w:t>
        </w:r>
      </w:hyperlink>
    </w:p>
    <w:p w:rsidR="0071345D" w:rsidRPr="008544D1" w:rsidRDefault="0071345D" w:rsidP="00C70E5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C70E55" w:rsidRDefault="0071345D" w:rsidP="00C70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Введение</w:t>
      </w:r>
      <w:r w:rsidR="00C70E5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.</w:t>
      </w:r>
    </w:p>
    <w:p w:rsidR="001C27BE" w:rsidRDefault="00DC5FA5" w:rsidP="001C27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C5FA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Основной набор статистических показателей для исследований ди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фферен</w:t>
      </w:r>
      <w:r w:rsidRPr="00DC5FA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аци</w:t>
      </w:r>
      <w:r w:rsidRPr="00DC5FA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по доходам и оценки бед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ности будет обсуждаться в этом докладе</w:t>
      </w:r>
      <w:r w:rsidRPr="00DC5FA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Отличительной чертой российского общества является существенное неравенство в доходах, что приводит к концентрации богатства и бедности.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6071A" w:rsidRPr="00E6071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Российская Федерация известна своими крайними неравенствами </w:t>
      </w:r>
      <w:r w:rsidR="00E6071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 2011 года по 2018 год</w:t>
      </w:r>
      <w:r w:rsidR="00E6071A" w:rsidRPr="00E6071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846342" w:rsidRPr="008463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Абсолютный подход к сокращению бедности широко распространен в России на основе установления прожиточного минимума. Несмотря на то, что абсолютная бедность сократилась в </w:t>
      </w:r>
      <w:r w:rsidR="008463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2,1 раза за период с 2000 года</w:t>
      </w:r>
      <w:r w:rsidR="00846342" w:rsidRPr="008463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</w:t>
      </w:r>
      <w:r w:rsidR="008463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2018 год</w:t>
      </w:r>
      <w:r w:rsidR="00846342" w:rsidRPr="008463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прожиточный минимум для всех социально-демографических групп населения остается очень низким уровнем потребления.</w:t>
      </w:r>
      <w:r w:rsidR="008463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1C27BE" w:rsidRPr="001C27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Небезопасные группы населения заняты в сельском хозяйстве, государственном секторе и других. По результатам 2018 года субъективная оценка бедности показывает, что более</w:t>
      </w:r>
      <w:r w:rsidR="001C27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86 </w:t>
      </w:r>
      <w:r w:rsidR="001C27BE" w:rsidRPr="001C27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% населения России считает себя бедным</w:t>
      </w:r>
      <w:r w:rsidR="001C27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</w:t>
      </w:r>
      <w:r w:rsidR="001C27BE" w:rsidRPr="001C27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9446A4" w:rsidRPr="009446A4" w:rsidRDefault="009446A4" w:rsidP="001C27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70E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Статистический анализ дифференциации </w:t>
      </w:r>
      <w:r w:rsidR="00413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доходам и уровню</w:t>
      </w:r>
      <w:r w:rsidRPr="00C70E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бедности населения Российской Федерации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B65CA1" w:rsidRDefault="00B65CA1" w:rsidP="00D06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B65C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Быстрые темпы роста в процессе стратификации доходов общества начались с преобразования в рыночной экономике, что потребовало использования практических показателей, которые использовались для анализа уровня беднос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ти и социально-экономической дифференциации</w:t>
      </w:r>
      <w:r w:rsidRPr="00B65CA1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</w:t>
      </w:r>
    </w:p>
    <w:p w:rsidR="000E7715" w:rsidRDefault="000E7715" w:rsidP="00D06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0E771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Выявление основных факторов, определяющих границу расслоения населения по уровню доходов и создающих необходимую инфраструктуру для такого расслоения, заключается в изучении различий в доходах населения.</w:t>
      </w:r>
    </w:p>
    <w:p w:rsidR="00D06623" w:rsidRPr="006465DE" w:rsidRDefault="00F33584" w:rsidP="00D06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</w:t>
      </w:r>
      <w:r w:rsidR="00D06623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татистические показатели, которые используются для </w:t>
      </w:r>
      <w:r w:rsidR="00D06623" w:rsidRPr="006465D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количественной оценки дифференциации 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доходов, представлены в таблице 1. </w:t>
      </w:r>
    </w:p>
    <w:p w:rsidR="00C70E55" w:rsidRDefault="008544D1" w:rsidP="008544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544D1">
        <w:rPr>
          <w:rFonts w:ascii="Times New Roman" w:hAnsi="Times New Roman" w:cs="Times New Roman"/>
          <w:sz w:val="24"/>
        </w:rPr>
        <w:t>Таблица</w:t>
      </w:r>
      <w:proofErr w:type="gramStart"/>
      <w:r w:rsidRPr="008544D1">
        <w:rPr>
          <w:rFonts w:ascii="Times New Roman" w:hAnsi="Times New Roman" w:cs="Times New Roman"/>
          <w:sz w:val="24"/>
        </w:rPr>
        <w:t>1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44D1" w:rsidTr="008B0503">
        <w:tc>
          <w:tcPr>
            <w:tcW w:w="4814" w:type="dxa"/>
          </w:tcPr>
          <w:p w:rsidR="008544D1" w:rsidRPr="00241154" w:rsidRDefault="008544D1" w:rsidP="008544D1">
            <w:pPr>
              <w:jc w:val="center"/>
              <w:rPr>
                <w:rFonts w:ascii="Times New Roman" w:hAnsi="Times New Roman" w:cs="Times New Roman"/>
              </w:rPr>
            </w:pPr>
            <w:r w:rsidRPr="0024115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814" w:type="dxa"/>
          </w:tcPr>
          <w:p w:rsidR="008544D1" w:rsidRPr="00241154" w:rsidRDefault="008544D1" w:rsidP="008544D1">
            <w:pPr>
              <w:jc w:val="center"/>
              <w:rPr>
                <w:rFonts w:ascii="Times New Roman" w:hAnsi="Times New Roman" w:cs="Times New Roman"/>
              </w:rPr>
            </w:pPr>
            <w:r w:rsidRPr="00241154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8B0503" w:rsidRPr="008B0503" w:rsidTr="008B0503">
        <w:tc>
          <w:tcPr>
            <w:tcW w:w="4814" w:type="dxa"/>
            <w:hideMark/>
          </w:tcPr>
          <w:p w:rsidR="008B0503" w:rsidRPr="008B0503" w:rsidRDefault="008B0503" w:rsidP="008B050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iCs/>
                <w:color w:val="2B2B2B"/>
                <w:szCs w:val="21"/>
                <w:bdr w:val="none" w:sz="0" w:space="0" w:color="auto" w:frame="1"/>
                <w:lang w:eastAsia="ru-RU"/>
              </w:rPr>
              <w:t>Средний доход</w:t>
            </w:r>
          </w:p>
        </w:tc>
        <w:tc>
          <w:tcPr>
            <w:tcW w:w="4814" w:type="dxa"/>
            <w:hideMark/>
          </w:tcPr>
          <w:p w:rsidR="008B0503" w:rsidRPr="008B0503" w:rsidRDefault="00FF2503" w:rsidP="00FF2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Средний уровень</w:t>
            </w:r>
            <w:r w:rsidR="008B0503"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 дохода </w:t>
            </w:r>
            <w:r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всей численности </w:t>
            </w:r>
            <w:r w:rsidR="008B0503"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населения</w:t>
            </w:r>
          </w:p>
        </w:tc>
      </w:tr>
      <w:tr w:rsidR="008B0503" w:rsidRPr="008B0503" w:rsidTr="008B0503">
        <w:tc>
          <w:tcPr>
            <w:tcW w:w="4814" w:type="dxa"/>
            <w:hideMark/>
          </w:tcPr>
          <w:p w:rsidR="008B0503" w:rsidRPr="008B0503" w:rsidRDefault="008B0503" w:rsidP="008B050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iCs/>
                <w:color w:val="2B2B2B"/>
                <w:szCs w:val="21"/>
                <w:bdr w:val="none" w:sz="0" w:space="0" w:color="auto" w:frame="1"/>
                <w:lang w:eastAsia="ru-RU"/>
              </w:rPr>
              <w:t>Модальный доход</w:t>
            </w:r>
          </w:p>
        </w:tc>
        <w:tc>
          <w:tcPr>
            <w:tcW w:w="4814" w:type="dxa"/>
            <w:hideMark/>
          </w:tcPr>
          <w:p w:rsidR="008B0503" w:rsidRPr="008B0503" w:rsidRDefault="008630CC" w:rsidP="008B0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r w:rsidRPr="008630CC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уровень доходов очень распространен среди населения</w:t>
            </w:r>
          </w:p>
        </w:tc>
      </w:tr>
      <w:tr w:rsidR="008B0503" w:rsidRPr="008B0503" w:rsidTr="008B0503">
        <w:tc>
          <w:tcPr>
            <w:tcW w:w="4814" w:type="dxa"/>
            <w:hideMark/>
          </w:tcPr>
          <w:p w:rsidR="008B0503" w:rsidRPr="008B0503" w:rsidRDefault="008B0503" w:rsidP="008B050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iCs/>
                <w:color w:val="2B2B2B"/>
                <w:szCs w:val="21"/>
                <w:bdr w:val="none" w:sz="0" w:space="0" w:color="auto" w:frame="1"/>
                <w:lang w:eastAsia="ru-RU"/>
              </w:rPr>
              <w:t>Медианный доход</w:t>
            </w:r>
          </w:p>
        </w:tc>
        <w:tc>
          <w:tcPr>
            <w:tcW w:w="4814" w:type="dxa"/>
            <w:hideMark/>
          </w:tcPr>
          <w:p w:rsidR="008B0503" w:rsidRPr="008B0503" w:rsidRDefault="0027081C" w:rsidP="002708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r w:rsidRPr="0027081C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индекс дохода в середине цепи распределения, т.е. половина </w:t>
            </w:r>
            <w:r w:rsidR="00AE1273" w:rsidRPr="0027081C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населения,</w:t>
            </w:r>
            <w:r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 имеет низкий доход, а вторая </w:t>
            </w:r>
            <w:r w:rsidRPr="0027081C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половина </w:t>
            </w:r>
            <w:r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высокий доход</w:t>
            </w:r>
          </w:p>
        </w:tc>
      </w:tr>
      <w:tr w:rsidR="008B0503" w:rsidRPr="008B0503" w:rsidTr="008B0503">
        <w:tc>
          <w:tcPr>
            <w:tcW w:w="4814" w:type="dxa"/>
            <w:hideMark/>
          </w:tcPr>
          <w:p w:rsidR="008B0503" w:rsidRPr="008B0503" w:rsidRDefault="008B0503" w:rsidP="008B050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proofErr w:type="spellStart"/>
            <w:r w:rsidRPr="00241154">
              <w:rPr>
                <w:rFonts w:ascii="Times New Roman" w:eastAsia="Times New Roman" w:hAnsi="Times New Roman" w:cs="Times New Roman"/>
                <w:iCs/>
                <w:color w:val="2B2B2B"/>
                <w:szCs w:val="21"/>
                <w:bdr w:val="none" w:sz="0" w:space="0" w:color="auto" w:frame="1"/>
                <w:lang w:eastAsia="ru-RU"/>
              </w:rPr>
              <w:t>Децильный</w:t>
            </w:r>
            <w:proofErr w:type="spellEnd"/>
            <w:r w:rsidRPr="00241154">
              <w:rPr>
                <w:rFonts w:ascii="Times New Roman" w:eastAsia="Times New Roman" w:hAnsi="Times New Roman" w:cs="Times New Roman"/>
                <w:iCs/>
                <w:color w:val="2B2B2B"/>
                <w:szCs w:val="21"/>
                <w:bdr w:val="none" w:sz="0" w:space="0" w:color="auto" w:frame="1"/>
                <w:lang w:eastAsia="ru-RU"/>
              </w:rPr>
              <w:t xml:space="preserve"> коэффициент дифференциации доходов</w:t>
            </w:r>
          </w:p>
        </w:tc>
        <w:tc>
          <w:tcPr>
            <w:tcW w:w="4814" w:type="dxa"/>
            <w:hideMark/>
          </w:tcPr>
          <w:p w:rsidR="008B0503" w:rsidRPr="008B0503" w:rsidRDefault="008B0503" w:rsidP="00070D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r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показывает во сколько раз </w:t>
            </w:r>
            <w:r w:rsidR="00070DCC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самый низкий доход</w:t>
            </w:r>
            <w:r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 10% самого богатого населения</w:t>
            </w:r>
            <w:r w:rsidR="00070DCC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,</w:t>
            </w:r>
            <w:r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 превышают </w:t>
            </w:r>
            <w:r w:rsidR="00070DCC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самый высокий доход</w:t>
            </w:r>
            <w:r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 10% </w:t>
            </w:r>
            <w:r w:rsidR="00F02B6F" w:rsidRPr="00241154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наименее</w:t>
            </w:r>
            <w:r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 обеспеченного населения</w:t>
            </w:r>
          </w:p>
        </w:tc>
      </w:tr>
      <w:tr w:rsidR="008B0503" w:rsidRPr="008B0503" w:rsidTr="008B0503">
        <w:tc>
          <w:tcPr>
            <w:tcW w:w="4814" w:type="dxa"/>
            <w:hideMark/>
          </w:tcPr>
          <w:p w:rsidR="008B0503" w:rsidRPr="008B0503" w:rsidRDefault="008B0503" w:rsidP="008B050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iCs/>
                <w:color w:val="2B2B2B"/>
                <w:szCs w:val="21"/>
                <w:bdr w:val="none" w:sz="0" w:space="0" w:color="auto" w:frame="1"/>
                <w:lang w:eastAsia="ru-RU"/>
              </w:rPr>
              <w:t>Коэффициент фондов</w:t>
            </w:r>
          </w:p>
        </w:tc>
        <w:tc>
          <w:tcPr>
            <w:tcW w:w="4814" w:type="dxa"/>
            <w:hideMark/>
          </w:tcPr>
          <w:p w:rsidR="008B0503" w:rsidRPr="008B0503" w:rsidRDefault="007E4952" w:rsidP="007E4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характеризует </w:t>
            </w:r>
            <w:r w:rsidR="008B0503"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м</w:t>
            </w:r>
            <w:r w:rsidR="008B0503"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 между средними доходами населения </w:t>
            </w:r>
            <w:r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10 </w:t>
            </w:r>
            <w:r w:rsidR="008B0503"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1</w:t>
            </w:r>
            <w:r w:rsidR="008B0503"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 </w:t>
            </w:r>
            <w:proofErr w:type="spellStart"/>
            <w:r w:rsidR="008B0503"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децильных</w:t>
            </w:r>
            <w:proofErr w:type="spellEnd"/>
            <w:r w:rsidR="008B0503" w:rsidRPr="008B0503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 xml:space="preserve"> групп</w:t>
            </w:r>
          </w:p>
        </w:tc>
      </w:tr>
      <w:tr w:rsidR="008B0503" w:rsidRPr="008B0503" w:rsidTr="008B0503">
        <w:tc>
          <w:tcPr>
            <w:tcW w:w="4814" w:type="dxa"/>
            <w:hideMark/>
          </w:tcPr>
          <w:p w:rsidR="008B0503" w:rsidRPr="008B0503" w:rsidRDefault="008B0503" w:rsidP="001A210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iCs/>
                <w:color w:val="2B2B2B"/>
                <w:szCs w:val="21"/>
                <w:bdr w:val="none" w:sz="0" w:space="0" w:color="auto" w:frame="1"/>
                <w:lang w:eastAsia="ru-RU"/>
              </w:rPr>
              <w:t xml:space="preserve">Индекс концентрации доходов </w:t>
            </w:r>
          </w:p>
        </w:tc>
        <w:tc>
          <w:tcPr>
            <w:tcW w:w="4814" w:type="dxa"/>
            <w:hideMark/>
          </w:tcPr>
          <w:p w:rsidR="008B0503" w:rsidRPr="008B0503" w:rsidRDefault="00433B0E" w:rsidP="008B0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</w:pPr>
            <w:r w:rsidRPr="00433B0E">
              <w:rPr>
                <w:rFonts w:ascii="Times New Roman" w:eastAsia="Times New Roman" w:hAnsi="Times New Roman" w:cs="Times New Roman"/>
                <w:color w:val="2B2B2B"/>
                <w:szCs w:val="21"/>
                <w:lang w:eastAsia="ru-RU"/>
              </w:rPr>
              <w:t>это показывает, что распределение средств между отдельными группами неэффективно</w:t>
            </w:r>
          </w:p>
        </w:tc>
      </w:tr>
    </w:tbl>
    <w:p w:rsidR="00113F2B" w:rsidRDefault="00113F2B" w:rsidP="009329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B929C6" w:rsidRPr="00932905" w:rsidRDefault="00B929C6" w:rsidP="007944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Анализ д</w:t>
      </w:r>
      <w:r w:rsidRPr="00B929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фференциации </w:t>
      </w:r>
      <w:r w:rsidRPr="00B929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проводится с использованием различн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ых вариационных рядов</w:t>
      </w:r>
      <w:r w:rsidRPr="00B929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распределения доходов:</w:t>
      </w:r>
    </w:p>
    <w:p w:rsidR="0075398C" w:rsidRDefault="00C4128B" w:rsidP="00C41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           </w:t>
      </w:r>
      <w:r w:rsidR="0075398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р</w:t>
      </w:r>
      <w:r w:rsidR="0075398C" w:rsidRPr="0075398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</w:t>
      </w:r>
      <w:r w:rsidR="00C5364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зделение</w:t>
      </w:r>
      <w:r w:rsidR="0075398C" w:rsidRPr="0075398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домохозяйств по денежным доходам на душу населения, в совокупности с интервалами с фиксированными пределами. Это распределение сделано для множества домашних хозяйств (городских, сельских</w:t>
      </w:r>
      <w:r w:rsidR="00C5346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т. д</w:t>
      </w:r>
      <w:r w:rsidR="0075398C" w:rsidRPr="0075398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.);</w:t>
      </w:r>
    </w:p>
    <w:p w:rsidR="00153AF6" w:rsidRDefault="0075398C" w:rsidP="00753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– </w:t>
      </w:r>
      <w:r w:rsidR="00C5364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разделение</w:t>
      </w:r>
      <w:r w:rsidR="00E86C7C" w:rsidRPr="00E86C7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общих доходов населения по группам</w:t>
      </w:r>
      <w:r w:rsidR="00EB500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10%-</w:t>
      </w:r>
      <w:proofErr w:type="spellStart"/>
      <w:r w:rsidR="00EB500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ным</w:t>
      </w:r>
      <w:proofErr w:type="spellEnd"/>
      <w:r w:rsidR="00EB500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20%-</w:t>
      </w:r>
      <w:proofErr w:type="spellStart"/>
      <w:r w:rsidR="00EB500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ным</w:t>
      </w:r>
      <w:proofErr w:type="spellEnd"/>
      <w:r w:rsidR="00932905" w:rsidRPr="0093290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="005D2FE1" w:rsidRPr="005D2FE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позволяют рассчитывать </w:t>
      </w:r>
      <w:proofErr w:type="spellStart"/>
      <w:r w:rsidR="00153A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децильные</w:t>
      </w:r>
      <w:proofErr w:type="spellEnd"/>
      <w:r w:rsidR="005D2FE1" w:rsidRPr="005D2FE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</w:t>
      </w:r>
      <w:r w:rsidR="00153A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153A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квинтильные</w:t>
      </w:r>
      <w:proofErr w:type="spellEnd"/>
      <w:r w:rsidR="005D2FE1" w:rsidRPr="005D2FE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153A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дифференциальные показатели</w:t>
      </w:r>
      <w:r w:rsidR="005D2FE1" w:rsidRPr="005D2FE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оценивать денежный поток</w:t>
      </w:r>
      <w:r w:rsidR="005D2FE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932905" w:rsidRPr="00932905" w:rsidRDefault="005D2FE1" w:rsidP="00753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D2FE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75398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</w:t>
      </w:r>
      <w:r w:rsidR="00D378CB" w:rsidRPr="00D378CB">
        <w:t xml:space="preserve"> </w:t>
      </w:r>
      <w:r w:rsidR="00D378C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</w:t>
      </w:r>
      <w:r w:rsidR="00D378CB" w:rsidRPr="00D378C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рожиточное минимальное ра</w:t>
      </w:r>
      <w:r w:rsidR="009576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зделение</w:t>
      </w:r>
      <w:r w:rsidR="00D378CB" w:rsidRPr="00D378C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пропорциональных групп по размеру, </w:t>
      </w:r>
      <w:r w:rsidR="00E368E8" w:rsidRPr="00E368E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предлагают оценить социальную </w:t>
      </w:r>
      <w:r w:rsidR="00F423B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строение</w:t>
      </w:r>
      <w:r w:rsidR="00E368E8" w:rsidRPr="00E368E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населения </w:t>
      </w:r>
      <w:r w:rsidR="00D378CB" w:rsidRPr="00D378C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(бедные, малообеспеченные, средние, богатые и богатые) и </w:t>
      </w:r>
      <w:r w:rsidR="005B14D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их</w:t>
      </w:r>
      <w:r w:rsidR="00D378CB" w:rsidRPr="00D378C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динамику. </w:t>
      </w:r>
      <w:r w:rsidR="004A171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[4</w:t>
      </w:r>
      <w:r w:rsidR="00932905" w:rsidRPr="0093290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].</w:t>
      </w:r>
    </w:p>
    <w:p w:rsidR="004D5C7B" w:rsidRPr="004D5C7B" w:rsidRDefault="00166541" w:rsidP="004D5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Исходя из рисунка</w:t>
      </w:r>
      <w:r w:rsidR="00E01A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1, можно сделать вывод</w:t>
      </w:r>
      <w:r w:rsidR="004D5C7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что</w:t>
      </w:r>
      <w:r w:rsidR="00FF1D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период с 2013</w:t>
      </w:r>
      <w:r w:rsidR="00E01A1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года по 2018 год заработная плата показывает возрастающую тенденцию</w:t>
      </w:r>
      <w:r w:rsidR="004D5C7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="004D5C7B" w:rsidRPr="004D5C7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C4F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</w:t>
      </w:r>
      <w:r w:rsidR="004D5C7B" w:rsidRPr="004D5C7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C4F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существенное</w:t>
      </w:r>
      <w:r w:rsidR="004D5C7B" w:rsidRPr="004D5C7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превышение средней заработной платы за </w:t>
      </w:r>
      <w:r w:rsidR="005C4F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 лет</w:t>
      </w:r>
      <w:r w:rsidR="004B5C6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над медианным значением </w:t>
      </w:r>
      <w:r w:rsidR="004D5C7B" w:rsidRPr="004D5C7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C4F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говорит</w:t>
      </w:r>
      <w:r w:rsidR="004D5C7B" w:rsidRPr="004D5C7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 существовании дифференциации доходов населения.</w:t>
      </w:r>
    </w:p>
    <w:p w:rsidR="008544D1" w:rsidRDefault="00A40A9A" w:rsidP="009935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A575A23" wp14:editId="5429B6FF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41DD" w:rsidRDefault="00A37A70" w:rsidP="007A7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Рис.</w:t>
      </w:r>
      <w:r w:rsidR="007A749A" w:rsidRPr="007A749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Динамика среднего, медианного</w:t>
      </w:r>
      <w:r w:rsidR="00FA026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модального</w:t>
      </w:r>
      <w:r w:rsidR="007A749A" w:rsidRPr="007A749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значений </w:t>
      </w:r>
      <w:proofErr w:type="gramStart"/>
      <w:r w:rsidR="007A749A" w:rsidRPr="007A749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заработной</w:t>
      </w:r>
      <w:proofErr w:type="gramEnd"/>
    </w:p>
    <w:p w:rsidR="007A749A" w:rsidRPr="007A749A" w:rsidRDefault="007A749A" w:rsidP="007A7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A749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платы работ</w:t>
      </w:r>
      <w:r w:rsidR="00FA026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ников организаций за 2013</w:t>
      </w:r>
      <w:r w:rsidR="009935A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2018</w:t>
      </w:r>
      <w:r w:rsidRPr="007A749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гг. </w:t>
      </w:r>
    </w:p>
    <w:p w:rsidR="009446A4" w:rsidRDefault="000163BA" w:rsidP="00944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Показано в</w:t>
      </w:r>
      <w:r w:rsidR="00DF3E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таблице 2 ра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зделение</w:t>
      </w:r>
      <w:r w:rsidR="00DF3E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общего объема денежных доходов по 20%-</w:t>
      </w:r>
      <w:proofErr w:type="spellStart"/>
      <w:r w:rsidR="00DF3E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ным</w:t>
      </w:r>
      <w:proofErr w:type="spellEnd"/>
      <w:r w:rsidR="00DF3E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группам населения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РФ</w:t>
      </w:r>
      <w:r w:rsidR="00DF3E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 2013 года по 2018 год.</w:t>
      </w:r>
      <w:r w:rsidR="00CE421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9446A4" w:rsidRPr="009446A4" w:rsidRDefault="009446A4" w:rsidP="009446A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446A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Таблица 2</w:t>
      </w:r>
    </w:p>
    <w:p w:rsidR="009446A4" w:rsidRPr="009446A4" w:rsidRDefault="009446A4" w:rsidP="009446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446A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Распределение общего объема денежных доходов по 20%-ным группам населения Российской Федерации</w:t>
      </w:r>
    </w:p>
    <w:p w:rsidR="009446A4" w:rsidRPr="00CE421B" w:rsidRDefault="009446A4" w:rsidP="00CE4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Style w:val="a4"/>
        <w:tblW w:w="9702" w:type="dxa"/>
        <w:tblLook w:val="04A0" w:firstRow="1" w:lastRow="0" w:firstColumn="1" w:lastColumn="0" w:noHBand="0" w:noVBand="1"/>
      </w:tblPr>
      <w:tblGrid>
        <w:gridCol w:w="1670"/>
        <w:gridCol w:w="1338"/>
        <w:gridCol w:w="1339"/>
        <w:gridCol w:w="1339"/>
        <w:gridCol w:w="1338"/>
        <w:gridCol w:w="1339"/>
        <w:gridCol w:w="1339"/>
      </w:tblGrid>
      <w:tr w:rsidR="000B095A" w:rsidRPr="00241154" w:rsidTr="000B095A">
        <w:tc>
          <w:tcPr>
            <w:tcW w:w="1670" w:type="dxa"/>
            <w:vAlign w:val="bottom"/>
          </w:tcPr>
          <w:p w:rsidR="000B095A" w:rsidRPr="00241154" w:rsidRDefault="000B095A" w:rsidP="000B095A">
            <w:p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1338" w:type="dxa"/>
            <w:vAlign w:val="center"/>
          </w:tcPr>
          <w:p w:rsidR="000B095A" w:rsidRPr="00241154" w:rsidRDefault="006B3437" w:rsidP="000B095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2013</w:t>
            </w:r>
            <w:r w:rsidR="000B095A" w:rsidRPr="002411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339" w:type="dxa"/>
            <w:vAlign w:val="center"/>
          </w:tcPr>
          <w:p w:rsidR="000B095A" w:rsidRPr="00241154" w:rsidRDefault="006B3437" w:rsidP="000B095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2014</w:t>
            </w:r>
            <w:r w:rsidR="000B095A" w:rsidRPr="002411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6B3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201</w:t>
            </w:r>
            <w:r w:rsidR="006B343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</w:t>
            </w:r>
            <w:r w:rsidRPr="002411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6B3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201</w:t>
            </w:r>
            <w:r w:rsidR="006B343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6</w:t>
            </w:r>
            <w:r w:rsidRPr="002411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6B3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201</w:t>
            </w:r>
            <w:r w:rsidR="006B343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7</w:t>
            </w:r>
            <w:r w:rsidRPr="002411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6B3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201</w:t>
            </w:r>
            <w:r w:rsidR="006B343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8</w:t>
            </w:r>
            <w:r w:rsidRPr="002411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г.</w:t>
            </w:r>
          </w:p>
        </w:tc>
      </w:tr>
      <w:tr w:rsidR="000B095A" w:rsidRPr="00241154" w:rsidTr="000B095A">
        <w:tc>
          <w:tcPr>
            <w:tcW w:w="1670" w:type="dxa"/>
            <w:vAlign w:val="bottom"/>
          </w:tcPr>
          <w:p w:rsidR="000B095A" w:rsidRPr="00241154" w:rsidRDefault="002B235D" w:rsidP="002B2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Денежные доходы – всего %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B095A" w:rsidRPr="00241154" w:rsidTr="000B095A">
        <w:tc>
          <w:tcPr>
            <w:tcW w:w="9702" w:type="dxa"/>
            <w:gridSpan w:val="7"/>
            <w:vAlign w:val="center"/>
          </w:tcPr>
          <w:p w:rsidR="000B095A" w:rsidRPr="00241154" w:rsidRDefault="000B095A" w:rsidP="000B095A">
            <w:pPr>
              <w:jc w:val="center"/>
              <w:rPr>
                <w:rFonts w:ascii="Times New Roman" w:hAnsi="Times New Roman" w:cs="Times New Roman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в том числе по 20-процентным группам населения:</w:t>
            </w:r>
          </w:p>
        </w:tc>
      </w:tr>
      <w:tr w:rsidR="000B095A" w:rsidRPr="00241154" w:rsidTr="000B095A">
        <w:tc>
          <w:tcPr>
            <w:tcW w:w="1670" w:type="dxa"/>
            <w:vAlign w:val="bottom"/>
          </w:tcPr>
          <w:p w:rsidR="000B095A" w:rsidRPr="00241154" w:rsidRDefault="000B095A" w:rsidP="000B09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первая (с наименьшими доходами)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0B095A" w:rsidRPr="00241154" w:rsidTr="000B095A">
        <w:tc>
          <w:tcPr>
            <w:tcW w:w="1670" w:type="dxa"/>
            <w:vAlign w:val="bottom"/>
          </w:tcPr>
          <w:p w:rsidR="000B095A" w:rsidRPr="00241154" w:rsidRDefault="000B095A" w:rsidP="000B09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B095A" w:rsidRPr="00241154" w:rsidTr="000B095A">
        <w:tc>
          <w:tcPr>
            <w:tcW w:w="1670" w:type="dxa"/>
            <w:vAlign w:val="bottom"/>
          </w:tcPr>
          <w:p w:rsidR="000B095A" w:rsidRPr="00241154" w:rsidRDefault="000B095A" w:rsidP="000B09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третья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B095A" w:rsidRPr="00241154" w:rsidTr="000B095A">
        <w:tc>
          <w:tcPr>
            <w:tcW w:w="1670" w:type="dxa"/>
            <w:vAlign w:val="bottom"/>
          </w:tcPr>
          <w:p w:rsidR="000B095A" w:rsidRPr="00241154" w:rsidRDefault="000B095A" w:rsidP="000B09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четвертая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0B095A" w:rsidRPr="00241154" w:rsidTr="000B095A">
        <w:tc>
          <w:tcPr>
            <w:tcW w:w="1670" w:type="dxa"/>
            <w:vAlign w:val="bottom"/>
          </w:tcPr>
          <w:p w:rsidR="000B095A" w:rsidRPr="00241154" w:rsidRDefault="000B095A" w:rsidP="000B09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пятая (с наибольшими доходами)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  <w:tc>
          <w:tcPr>
            <w:tcW w:w="1338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1339" w:type="dxa"/>
            <w:vAlign w:val="center"/>
          </w:tcPr>
          <w:p w:rsidR="000B095A" w:rsidRPr="00241154" w:rsidRDefault="000B095A" w:rsidP="000B0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</w:tr>
    </w:tbl>
    <w:p w:rsidR="005D2FE1" w:rsidRDefault="005D2FE1" w:rsidP="002575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993A5A" w:rsidRDefault="002B235D" w:rsidP="002575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Продолжение таблицы 2</w:t>
      </w:r>
    </w:p>
    <w:p w:rsidR="002B235D" w:rsidRDefault="002B235D" w:rsidP="002B23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Style w:val="a4"/>
        <w:tblW w:w="9702" w:type="dxa"/>
        <w:tblLook w:val="04A0" w:firstRow="1" w:lastRow="0" w:firstColumn="1" w:lastColumn="0" w:noHBand="0" w:noVBand="1"/>
      </w:tblPr>
      <w:tblGrid>
        <w:gridCol w:w="1670"/>
        <w:gridCol w:w="1338"/>
        <w:gridCol w:w="1339"/>
        <w:gridCol w:w="1339"/>
        <w:gridCol w:w="1338"/>
        <w:gridCol w:w="1339"/>
        <w:gridCol w:w="1339"/>
      </w:tblGrid>
      <w:tr w:rsidR="002B235D" w:rsidRPr="00241154" w:rsidTr="001F6CF9">
        <w:tc>
          <w:tcPr>
            <w:tcW w:w="1670" w:type="dxa"/>
            <w:vAlign w:val="bottom"/>
          </w:tcPr>
          <w:p w:rsidR="002B235D" w:rsidRPr="00241154" w:rsidRDefault="004E1766" w:rsidP="001F6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54">
              <w:rPr>
                <w:rFonts w:ascii="Times New Roman" w:eastAsia="Times New Roman" w:hAnsi="Times New Roman" w:cs="Times New Roman"/>
                <w:iCs/>
                <w:color w:val="2B2B2B"/>
                <w:szCs w:val="21"/>
                <w:bdr w:val="none" w:sz="0" w:space="0" w:color="auto" w:frame="1"/>
                <w:lang w:eastAsia="ru-RU"/>
              </w:rPr>
              <w:t>Индекс концентрации доходов</w:t>
            </w:r>
          </w:p>
        </w:tc>
        <w:tc>
          <w:tcPr>
            <w:tcW w:w="1338" w:type="dxa"/>
            <w:vAlign w:val="center"/>
          </w:tcPr>
          <w:p w:rsidR="002B235D" w:rsidRPr="00241154" w:rsidRDefault="00B428DE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0,418</w:t>
            </w:r>
          </w:p>
        </w:tc>
        <w:tc>
          <w:tcPr>
            <w:tcW w:w="1339" w:type="dxa"/>
            <w:vAlign w:val="center"/>
          </w:tcPr>
          <w:p w:rsidR="002B235D" w:rsidRPr="00241154" w:rsidRDefault="00B428DE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  <w:r w:rsidR="002B2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9" w:type="dxa"/>
            <w:vAlign w:val="center"/>
          </w:tcPr>
          <w:p w:rsidR="002B235D" w:rsidRPr="00241154" w:rsidRDefault="00B428DE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0,418</w:t>
            </w:r>
          </w:p>
        </w:tc>
        <w:tc>
          <w:tcPr>
            <w:tcW w:w="1338" w:type="dxa"/>
            <w:vAlign w:val="center"/>
          </w:tcPr>
          <w:p w:rsidR="002B235D" w:rsidRPr="00241154" w:rsidRDefault="002B235D" w:rsidP="00B42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  <w:r w:rsidR="00B428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39" w:type="dxa"/>
            <w:vAlign w:val="center"/>
          </w:tcPr>
          <w:p w:rsidR="002B235D" w:rsidRPr="00241154" w:rsidRDefault="002B235D" w:rsidP="00B42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  <w:r w:rsidR="00B428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9" w:type="dxa"/>
            <w:vAlign w:val="center"/>
          </w:tcPr>
          <w:p w:rsidR="002B235D" w:rsidRPr="00241154" w:rsidRDefault="002B235D" w:rsidP="00B42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  <w:r w:rsidR="00B428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B235D" w:rsidRPr="00241154" w:rsidTr="001F6CF9">
        <w:tc>
          <w:tcPr>
            <w:tcW w:w="1670" w:type="dxa"/>
            <w:vAlign w:val="bottom"/>
          </w:tcPr>
          <w:p w:rsidR="002B235D" w:rsidRPr="00241154" w:rsidRDefault="008B506F" w:rsidP="001F6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Коэффициент фондов</w:t>
            </w:r>
            <w:r w:rsidR="002B235D" w:rsidRPr="00241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B235D" w:rsidRPr="00241154">
              <w:rPr>
                <w:rFonts w:ascii="Times New Roman" w:eastAsia="Times New Roman" w:hAnsi="Times New Roman" w:cs="Times New Roman"/>
                <w:lang w:eastAsia="ru-RU"/>
              </w:rPr>
              <w:t>в разах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38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339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339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338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339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339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2B235D" w:rsidRPr="00241154" w:rsidTr="001F6CF9">
        <w:tc>
          <w:tcPr>
            <w:tcW w:w="1670" w:type="dxa"/>
            <w:vAlign w:val="bottom"/>
          </w:tcPr>
          <w:p w:rsidR="002B235D" w:rsidRPr="00241154" w:rsidRDefault="008B506F" w:rsidP="001F6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Децильный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коэффициент (</w:t>
            </w:r>
            <w:r w:rsidR="002B235D" w:rsidRPr="00241154">
              <w:rPr>
                <w:rFonts w:ascii="Times New Roman" w:eastAsia="Times New Roman" w:hAnsi="Times New Roman" w:cs="Times New Roman"/>
                <w:lang w:eastAsia="ru-RU"/>
              </w:rPr>
              <w:t>в разах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38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339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339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338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339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339" w:type="dxa"/>
            <w:vAlign w:val="center"/>
          </w:tcPr>
          <w:p w:rsidR="002B235D" w:rsidRPr="00241154" w:rsidRDefault="00193316" w:rsidP="001F6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</w:tbl>
    <w:p w:rsidR="002B235D" w:rsidRDefault="002B235D" w:rsidP="002575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0C6DBE" w:rsidRPr="000C6DBE" w:rsidRDefault="00DF3EC2" w:rsidP="002575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 практике в мире получили распространение 3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главных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подхода, которые относятся к измерению бедности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[</w:t>
      </w:r>
      <w:r w:rsidR="00AB5DF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]:</w:t>
      </w:r>
    </w:p>
    <w:p w:rsidR="000C6DBE" w:rsidRPr="000C6DBE" w:rsidRDefault="000C6DBE" w:rsidP="002575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Абсолютный подход – </w:t>
      </w:r>
      <w:r w:rsidR="00B3380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производится 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установлении</w:t>
      </w:r>
      <w:r w:rsidR="00B3380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прожиточного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минимума,</w:t>
      </w:r>
      <w:r w:rsidR="00B3380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который 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214B4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является постоянным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</w:t>
      </w:r>
      <w:r w:rsidR="00214B4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никак не меняется с течением времени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0C6DBE" w:rsidRPr="000C6DBE" w:rsidRDefault="006547FA" w:rsidP="002575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547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Относительный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подход</w:t>
      </w:r>
      <w:r w:rsidRPr="006547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</w:t>
      </w:r>
      <w:r w:rsidRPr="006547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F47F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производится на </w:t>
      </w:r>
      <w:r w:rsidRPr="006547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основан</w:t>
      </w:r>
      <w:r w:rsidR="00F47F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ии признания</w:t>
      </w:r>
      <w:r w:rsidRPr="006547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бедных, которые не могут соответствовать уровню потребления в конкретном обществе из-за их доходов. Индекс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медианного</w:t>
      </w:r>
      <w:r w:rsidRPr="006547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личного располагаемого дохода используется для построения относительной черты бедности. Относительная черта </w:t>
      </w:r>
      <w:r w:rsidR="00F84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нищеты</w:t>
      </w:r>
      <w:r w:rsidRPr="006547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F84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 многих европейских странах соответствует 50% медианного дохода, в Скандинавии приблизительно около 60%, в США 40%</w:t>
      </w:r>
      <w:r w:rsidR="0062354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[5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с. 280].</w:t>
      </w:r>
    </w:p>
    <w:p w:rsidR="00E40E3C" w:rsidRDefault="000C6DBE" w:rsidP="00E40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Субъективный подход – </w:t>
      </w:r>
      <w:r w:rsidR="00485F5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производится на основании мнения индивида об уровне его бедности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BF63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Такой метод</w:t>
      </w:r>
      <w:r w:rsidR="00752C6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помогает более точно установить аспекты бедности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="00752C6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так как бедность определяется не только в доходах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но и в </w:t>
      </w:r>
      <w:r w:rsidR="001A022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слабом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1A022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 и питании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="001A022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плохом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уровне образования, </w:t>
      </w:r>
      <w:r w:rsidR="00752C6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плохих</w:t>
      </w:r>
      <w:r w:rsidR="001A022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жилищных условиях </w:t>
      </w:r>
      <w:r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т.п.</w:t>
      </w:r>
    </w:p>
    <w:p w:rsidR="000C6DBE" w:rsidRPr="000C6DBE" w:rsidRDefault="00324FEC" w:rsidP="00805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Российской Федерации</w:t>
      </w:r>
      <w:r w:rsidR="00442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существуют определенные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2E3F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оценки бедности</w:t>
      </w:r>
      <w:r w:rsidR="00442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основаны на показателях в рамках абсолютного подхода бедности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8058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Чтобы оценить бедность используют такой критерий, как величина прожиточного минимума</w:t>
      </w:r>
      <w:r w:rsidR="00442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614E5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[</w:t>
      </w:r>
      <w:r w:rsidR="000353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</w:t>
      </w:r>
      <w:r w:rsidR="00614E5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с. </w:t>
      </w:r>
      <w:r w:rsidR="00EB7A9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201]. Численность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населения с денежными доходами ниже величины прожиточного минимума</w:t>
      </w:r>
      <w:r w:rsidR="00EB7A9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0F231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считаются</w:t>
      </w:r>
      <w:r w:rsidR="00EB7A9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0F231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одинаковыми</w:t>
      </w:r>
      <w:r w:rsidR="00EB7A9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численности бедных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F82DA7" w:rsidRPr="00F82D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Росстат также, в дополнение </w:t>
      </w:r>
      <w:proofErr w:type="gramStart"/>
      <w:r w:rsidR="00F82DA7" w:rsidRPr="00F82D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</w:t>
      </w:r>
      <w:proofErr w:type="gramEnd"/>
      <w:r w:rsidR="00F82DA7" w:rsidRPr="00F82D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="00F82D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доли</w:t>
      </w:r>
      <w:proofErr w:type="gramEnd"/>
      <w:r w:rsidR="00F82DA7" w:rsidRPr="00F82D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</w:t>
      </w:r>
      <w:r w:rsidR="00F82D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числу</w:t>
      </w:r>
      <w:r w:rsidR="00F82DA7" w:rsidRPr="00F82D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бедных, рассчитал и подготовил </w:t>
      </w:r>
      <w:r w:rsidR="00F82D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показатель</w:t>
      </w:r>
      <w:r w:rsidR="00F82DA7" w:rsidRPr="00F82D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«Дефицит располагаемых ресурсов малоимущего населения» – </w:t>
      </w:r>
      <w:r w:rsidR="00B128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это то, </w:t>
      </w:r>
      <w:r w:rsidR="00BC4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число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денег, которое </w:t>
      </w:r>
      <w:r w:rsidR="00B128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нужно для того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чтобы </w:t>
      </w:r>
      <w:r w:rsidR="00B128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увеличить</w:t>
      </w:r>
      <w:r w:rsidR="002E3F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доходы бедных до прожиточного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минимума.</w:t>
      </w:r>
    </w:p>
    <w:p w:rsidR="000C6DBE" w:rsidRDefault="00004FB4" w:rsidP="002575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Для определения величины прожиточного минимума в </w:t>
      </w:r>
      <w:r w:rsidR="00902CC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РФ</w:t>
      </w:r>
      <w:r w:rsidR="00801CB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ое положение</w:t>
      </w:r>
      <w:r w:rsidR="00801CB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выступа</w:t>
      </w:r>
      <w:r w:rsidR="00801CB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ют, 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Федеральный закон № 134-ФЗ от 24.10.1997г. с </w:t>
      </w:r>
      <w:r w:rsidR="00801CB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дальнейшими </w:t>
      </w:r>
      <w:r w:rsidR="0093752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исправлениями</w:t>
      </w:r>
      <w:r w:rsidR="002E3F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«О прожиточном минимуме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Росси</w:t>
      </w:r>
      <w:r w:rsidR="00801CB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йской Федерации», а так же Постановление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Правительства РФ № 1702 от 30.12.2017 г. «О порядке установления величины прожиточного минимума на </w:t>
      </w:r>
      <w:r w:rsidR="006403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одного человека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по </w:t>
      </w:r>
      <w:r w:rsidR="0036160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главным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социально-демографическим группам населения в цел</w:t>
      </w:r>
      <w:r w:rsid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ом по </w:t>
      </w:r>
      <w:r w:rsidR="00E871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РФ</w:t>
      </w:r>
      <w:r w:rsid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 [1;</w:t>
      </w:r>
      <w:r w:rsidR="00C554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2].</w:t>
      </w:r>
      <w:proofErr w:type="gramEnd"/>
      <w:r w:rsidR="00C554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B3BF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</w:t>
      </w:r>
      <w:r w:rsidR="00C554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 основании закона</w:t>
      </w:r>
      <w:r w:rsidR="00EB3BF0" w:rsidRPr="00EB3BF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B3BF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размер</w:t>
      </w:r>
      <w:r w:rsidR="00EB3BF0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прожиточного минимума</w:t>
      </w:r>
      <w:r w:rsidR="00C554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представляет собой стоимостную</w:t>
      </w:r>
      <w:r w:rsidR="00C554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оценку потребительской корзины. В неё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C554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включаются определенные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наборы продуктов питания</w:t>
      </w:r>
      <w:r w:rsidR="00C554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которые необходимы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для трудоспособного населения, пенсионеров и детей,</w:t>
      </w:r>
      <w:r w:rsidR="00C554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так как это нужно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для сохранения здоровья человека и обеспечения его</w:t>
      </w:r>
      <w:r w:rsidR="00C554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полноценной жизнедеятельности. Так же включены, непродовольственные товары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услуг</w:t>
      </w:r>
      <w:r w:rsidR="00C554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и, и обязательные платежи и сборы, которые представлены на рисунке 2 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[</w:t>
      </w:r>
      <w:r w:rsidR="003D5AF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="000C6DBE" w:rsidRPr="000C6DB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].</w:t>
      </w:r>
    </w:p>
    <w:p w:rsidR="00257542" w:rsidRPr="00257542" w:rsidRDefault="00487329" w:rsidP="002575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рисунке 2 видно</w:t>
      </w:r>
      <w:r w:rsidR="00257542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AE50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что</w:t>
      </w:r>
      <w:r w:rsidR="00257542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D157A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</w:t>
      </w:r>
      <w:r w:rsidR="00D157A5" w:rsidRPr="00D157A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сновную часть потребительской корзины сост</w:t>
      </w:r>
      <w:r w:rsidR="00D157A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авляют цены на продукты питания</w:t>
      </w:r>
      <w:r w:rsidR="00257542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gramStart"/>
      <w:r w:rsidR="00EB451B" w:rsidRPr="00EB451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Низкая стоимость небольшой </w:t>
      </w:r>
      <w:r w:rsidR="00E5655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количество</w:t>
      </w:r>
      <w:r w:rsidR="00EB451B" w:rsidRPr="00EB451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продуктов питания </w:t>
      </w:r>
      <w:r w:rsidR="0011781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рассчитывается</w:t>
      </w:r>
      <w:r w:rsidR="00257542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осно</w:t>
      </w:r>
      <w:r w:rsidR="00227A5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вании</w:t>
      </w:r>
      <w:r w:rsidR="00257542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227A5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официального</w:t>
      </w:r>
      <w:r w:rsidR="00257542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списка продуктов</w:t>
      </w:r>
      <w:r w:rsidR="009022D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питания и цен на них</w:t>
      </w:r>
      <w:r w:rsidR="00227A5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данный момент</w:t>
      </w:r>
      <w:r w:rsidR="009022D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gramEnd"/>
    </w:p>
    <w:p w:rsidR="00257542" w:rsidRPr="000C6DBE" w:rsidRDefault="009F2C51" w:rsidP="009F2C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555AA2" wp14:editId="2982B1F3">
            <wp:extent cx="3828363" cy="272729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5887" t="25628" r="35455" b="25385"/>
                    <a:stretch/>
                  </pic:blipFill>
                  <pic:spPr bwMode="auto">
                    <a:xfrm>
                      <a:off x="0" y="0"/>
                      <a:ext cx="3839476" cy="2735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49A" w:rsidRDefault="007A749A" w:rsidP="00A37A7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901C2" w:rsidRDefault="00A37A70" w:rsidP="002575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Рис.</w:t>
      </w:r>
      <w:r w:rsidRPr="00A37A7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2. Структура величины прожиточного м</w:t>
      </w:r>
      <w:r w:rsidR="00D901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инимума</w:t>
      </w:r>
      <w:r w:rsidRPr="00A37A7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</w:t>
      </w:r>
      <w:r w:rsidR="00D901C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РФ в целом </w:t>
      </w:r>
      <w:r w:rsidRPr="00A37A7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в разрезе</w:t>
      </w:r>
    </w:p>
    <w:p w:rsidR="00A37A70" w:rsidRDefault="00A37A70" w:rsidP="002575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7A7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социально-демогр</w:t>
      </w:r>
      <w:r w:rsidR="00816B4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афических групп (IV квартал 2018</w:t>
      </w:r>
      <w:r w:rsidRPr="00A37A7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г.)</w:t>
      </w:r>
    </w:p>
    <w:p w:rsidR="0000145D" w:rsidRDefault="00D933B8" w:rsidP="000014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Примерно такие же одинаковые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доли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C3C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затрат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услуги и товары</w:t>
      </w:r>
      <w:r w:rsidR="005C3C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которые не относятся к </w:t>
      </w:r>
      <w:proofErr w:type="gramStart"/>
      <w:r w:rsidR="005C3CA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продовольственным</w:t>
      </w:r>
      <w:proofErr w:type="gramEnd"/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E76FB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50,1% и 50,2%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76FB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цены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76FB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определенного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набора продуктов питания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определяют с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тоимость набора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непродовольственных товаров и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услуг.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потребительской корзине,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транспортные услуги </w:t>
      </w:r>
      <w:r w:rsidR="005D2D08" w:rsidRPr="005D2D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доступно только для </w:t>
      </w:r>
      <w:r w:rsidR="005D2D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работающего</w:t>
      </w:r>
      <w:r w:rsidR="005D2D08" w:rsidRPr="005D2D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населения 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 детей в возрасте 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 7 до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15 лет. 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Транспортные услуги д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ля пенсионеров и детей в возрасте до 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лет 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не включаются 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минимальный набор.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еречень минимальных услуг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2010 году,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был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бавлены </w:t>
      </w:r>
      <w:r w:rsidR="00993649" w:rsidRPr="0099364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расходы на культурные услуги, которые составляют 5% от общей стоимости 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 весь 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минимальный 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набор услуг.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C6351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Рассчитаны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корзине</w:t>
      </w:r>
      <w:r w:rsidR="008B416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продуктов питания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трудоспособного населения расходы 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 обязательные 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сборы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платежи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="008545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это</w:t>
      </w:r>
      <w:r w:rsidR="00854537" w:rsidRPr="002575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4251AF" w:rsidRPr="004251A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из-за экономической активности </w:t>
      </w:r>
      <w:r w:rsidR="004251A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этой </w:t>
      </w:r>
      <w:r w:rsidR="00D62F6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категории</w:t>
      </w:r>
      <w:r w:rsidR="004251AF" w:rsidRPr="004251A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людей и </w:t>
      </w:r>
      <w:r w:rsidR="004251A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отсутствием </w:t>
      </w:r>
      <w:r w:rsidR="004251AF" w:rsidRPr="004251A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логики </w:t>
      </w:r>
      <w:r w:rsidR="004251A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 такой статьи расходов в группе </w:t>
      </w:r>
      <w:r w:rsidR="004251AF" w:rsidRPr="004251A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пенсио</w:t>
      </w:r>
      <w:r w:rsidR="004251A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неров</w:t>
      </w:r>
      <w:r w:rsidR="004251AF" w:rsidRPr="004251A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дет</w:t>
      </w:r>
      <w:r w:rsidR="004251A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ей. </w:t>
      </w:r>
      <w:r w:rsidR="00FB6E6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 </w:t>
      </w:r>
      <w:r w:rsidR="00A417D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данным рисунка</w:t>
      </w:r>
      <w:r w:rsidR="00FB6E6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3, можно сделать вывод, что в России сокращаются масштабы</w:t>
      </w:r>
      <w:r w:rsidR="0000145D" w:rsidRPr="0000145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0E3B3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совершенной</w:t>
      </w:r>
      <w:bookmarkStart w:id="0" w:name="_GoBack"/>
      <w:bookmarkEnd w:id="0"/>
      <w:r w:rsidR="0000145D" w:rsidRPr="0000145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бедности за </w:t>
      </w:r>
      <w:r w:rsidR="00D31EA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рассматриваемый</w:t>
      </w:r>
      <w:r w:rsidR="0000145D" w:rsidRPr="0000145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период в 2,1 раза (с 29% до 13,5%). </w:t>
      </w:r>
    </w:p>
    <w:p w:rsidR="0000145D" w:rsidRDefault="0000145D" w:rsidP="000014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00145D" w:rsidRDefault="00956B64" w:rsidP="000014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FC31BE" wp14:editId="030D14DA">
            <wp:extent cx="5534108" cy="2910178"/>
            <wp:effectExtent l="0" t="0" r="0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145D" w:rsidRDefault="0000145D" w:rsidP="000014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00145D" w:rsidRDefault="0000145D" w:rsidP="00001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0145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Рис. 3. Динамика числ</w:t>
      </w:r>
      <w:r w:rsidR="009574D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</w:t>
      </w:r>
      <w:r w:rsidRPr="0000145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населения </w:t>
      </w:r>
      <w:r w:rsidR="009574D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РФ</w:t>
      </w:r>
      <w:r w:rsidR="00FD651B" w:rsidRPr="0000145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="00366A5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 которых</w:t>
      </w:r>
      <w:r w:rsidRPr="0000145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366A5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доходы</w:t>
      </w:r>
      <w:r w:rsidRPr="0000145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9574D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</w:t>
      </w:r>
      <w:r w:rsidR="00D755E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</w:t>
      </w:r>
      <w:r w:rsidR="009574D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ньше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величины прожиточного минимума</w:t>
      </w:r>
    </w:p>
    <w:p w:rsidR="0014737F" w:rsidRDefault="0014737F" w:rsidP="00BE2C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В </w:t>
      </w:r>
      <w:r w:rsidR="004D725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2002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году </w:t>
      </w:r>
      <w:r w:rsidR="00E12EC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число</w:t>
      </w:r>
      <w:r w:rsidR="00B23D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населения, которые </w:t>
      </w:r>
      <w:proofErr w:type="gramStart"/>
      <w:r w:rsidR="00B23D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доход </w:t>
      </w:r>
      <w:r w:rsidR="00B23D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меньше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прож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иточного минимума состав</w:t>
      </w:r>
      <w:r w:rsidR="00E50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ило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42,3 миллиона человек, или 29% от всей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численности населения. Период с </w:t>
      </w:r>
      <w:r w:rsidR="00A1188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2003 года  по  2007</w:t>
      </w:r>
      <w:r w:rsidR="004A6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когда наблюдался экономический рост, привел к положительному изменению доходов населения страны, а у</w:t>
      </w:r>
      <w:r w:rsidR="00D735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ровень бедности снизился с 27,5</w:t>
      </w:r>
      <w:r w:rsidR="004A6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% </w:t>
      </w:r>
      <w:r w:rsidR="00D735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 17,8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%. </w:t>
      </w:r>
      <w:r w:rsidR="004A6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Кризис 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2008 году</w:t>
      </w:r>
      <w:r w:rsidR="004A6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значительно снизил темпы сокращения </w:t>
      </w:r>
      <w:r w:rsidR="004A6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численности 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населения с денежными доходами ниже </w:t>
      </w:r>
      <w:r w:rsidR="004A6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минимального прожиточного 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уровня жизни. </w:t>
      </w:r>
      <w:r w:rsidR="00EC77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 2014</w:t>
      </w:r>
      <w:r w:rsidR="002A7C7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года, 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возросла проблема бедности, которая характеризуется увеличением населения с денежным д</w:t>
      </w:r>
      <w:r w:rsidR="0036060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оходом ниже уровня жизни. В 2018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году </w:t>
      </w:r>
      <w:r w:rsidR="002A7C7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 19,8 млн. че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ловек или </w:t>
      </w:r>
      <w:r w:rsidR="002A7C7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13</w:t>
      </w:r>
      <w:r w:rsidRPr="001473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,5% от общей численности населения.</w:t>
      </w:r>
    </w:p>
    <w:p w:rsidR="00BE2C3F" w:rsidRPr="00BE2C3F" w:rsidRDefault="00B07867" w:rsidP="00BE2C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 рисунке 4, представлены </w:t>
      </w:r>
      <w:r w:rsidR="008C07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незащищенные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в которые включаются, 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дети в возрасте до 16 лет (29,2%), молодеж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ь в возрасте 16-30 лет (18,7%) и пенсионеры (12,8%). </w:t>
      </w:r>
      <w:r w:rsidR="00DF58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Так же в современном мире, характерной особенностью, 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является появление</w:t>
      </w:r>
      <w:r w:rsidR="00332D6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="00332D6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таких</w:t>
      </w:r>
      <w:proofErr w:type="gramEnd"/>
      <w:r w:rsidR="00332D6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как «новые бедные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» — </w:t>
      </w:r>
      <w:r w:rsidR="00142BA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это то население</w:t>
      </w:r>
      <w:r w:rsidR="00DF58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="00142BA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которое работает, но</w:t>
      </w:r>
      <w:r w:rsidR="00DF58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свое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</w:t>
      </w:r>
      <w:r w:rsidR="00DF58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 </w:t>
      </w:r>
      <w:r w:rsidR="006F094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уровню образования и степени 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квалификации</w:t>
      </w:r>
      <w:r w:rsidR="00DF58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6F094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не могут быть в принципе в мире бедными 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никогда</w:t>
      </w:r>
      <w:r w:rsidR="006F094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даже нигде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9212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данную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группу </w:t>
      </w:r>
      <w:r w:rsidR="009212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входит 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население трудоспособного возраста,</w:t>
      </w:r>
      <w:r w:rsidR="009212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которое работает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9212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основном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</w:t>
      </w:r>
      <w:r w:rsidR="00CB414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организациях, которые финансируются из разных бюджетов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="00CB414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сельскохозяйственных сферах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др. </w:t>
      </w:r>
      <w:r w:rsidR="005D531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Такая группа населения  составляет достаточно порядочный процент 39,9% за рассматриваемый период.</w:t>
      </w:r>
    </w:p>
    <w:p w:rsidR="005E7903" w:rsidRDefault="005E7903" w:rsidP="00A37A7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37A70" w:rsidRDefault="00B63B35" w:rsidP="00A37A7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6A0024B" wp14:editId="3384DA87">
            <wp:extent cx="4373218" cy="2608028"/>
            <wp:effectExtent l="0" t="0" r="8890" b="19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2C3F" w:rsidRPr="00BE2C3F" w:rsidRDefault="008A511F" w:rsidP="00BE2C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Рис. 4. Разд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ление</w:t>
      </w:r>
      <w:r w:rsidR="00BE2C3F" w:rsidRPr="00BE2C3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населения с денежными доходами ниже величины прожиточного минимума по основным возрастным группам, %</w:t>
      </w:r>
    </w:p>
    <w:p w:rsidR="009046A4" w:rsidRDefault="00705619" w:rsidP="00904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0561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таблице </w:t>
      </w:r>
      <w:r w:rsidR="00506DF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3, </w:t>
      </w:r>
      <w:r w:rsidRPr="0070561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представлена информация об ответах респондентов ОБДХ, которые оценивают </w:t>
      </w:r>
      <w:r w:rsidR="00827E3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состояние своих доходов</w:t>
      </w:r>
      <w:r w:rsidRPr="0070561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2B1C67" w:rsidRPr="002B1C67" w:rsidRDefault="002B1C67" w:rsidP="009046A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B1C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Таблица 3</w:t>
      </w:r>
    </w:p>
    <w:p w:rsidR="002B1C67" w:rsidRPr="002B1C67" w:rsidRDefault="002B1C67" w:rsidP="002B1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B1C6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Распределение малоимущих домашних хозяйств в зависимости от оценки своего финансового </w:t>
      </w:r>
      <w:r w:rsidR="00C3129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состояния</w:t>
      </w:r>
      <w:r w:rsidRPr="002B1C6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 (</w:t>
      </w:r>
      <w:proofErr w:type="gramStart"/>
      <w:r w:rsidRPr="002B1C6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B1C6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</w:t>
      </w:r>
      <w:r w:rsidR="00C3129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%</w:t>
      </w:r>
      <w:r w:rsidRPr="002B1C6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ко всем домашним хозяйствам)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B1C67" w:rsidRPr="002B1C67" w:rsidTr="004F6A10">
        <w:tc>
          <w:tcPr>
            <w:tcW w:w="4814" w:type="dxa"/>
            <w:vAlign w:val="center"/>
            <w:hideMark/>
          </w:tcPr>
          <w:p w:rsidR="002B1C67" w:rsidRPr="002B1C67" w:rsidRDefault="002B1C67" w:rsidP="004F6A10">
            <w:pPr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Все домохозяйства</w:t>
            </w:r>
          </w:p>
        </w:tc>
        <w:tc>
          <w:tcPr>
            <w:tcW w:w="4814" w:type="dxa"/>
            <w:vAlign w:val="center"/>
            <w:hideMark/>
          </w:tcPr>
          <w:p w:rsidR="002B1C67" w:rsidRPr="002B1C67" w:rsidRDefault="002B1C67" w:rsidP="004F6A10">
            <w:pPr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100</w:t>
            </w:r>
          </w:p>
        </w:tc>
      </w:tr>
      <w:tr w:rsidR="002B1C67" w:rsidRPr="002B1C67" w:rsidTr="004F6A10">
        <w:tc>
          <w:tcPr>
            <w:tcW w:w="4814" w:type="dxa"/>
            <w:hideMark/>
          </w:tcPr>
          <w:p w:rsidR="002B1C67" w:rsidRPr="002B1C67" w:rsidRDefault="00A239AB" w:rsidP="004F6A10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те кто</w:t>
            </w:r>
            <w:r w:rsidR="002B1C67" w:rsidRPr="002B1C6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, оцени</w:t>
            </w: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вает</w:t>
            </w:r>
            <w:r w:rsidR="002B1C67" w:rsidRPr="002B1C6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свое финансовое </w:t>
            </w:r>
            <w:r w:rsidR="00C3129D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состояние таким</w:t>
            </w:r>
            <w:r w:rsidR="002B1C67" w:rsidRPr="002B1C6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образом:</w:t>
            </w:r>
          </w:p>
          <w:p w:rsidR="002B1C67" w:rsidRPr="002B1C67" w:rsidRDefault="00561F25" w:rsidP="004F6A10">
            <w:pPr>
              <w:textAlignment w:val="baseline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доходов не хватает, чтобы купить еду</w:t>
            </w:r>
          </w:p>
        </w:tc>
        <w:tc>
          <w:tcPr>
            <w:tcW w:w="4814" w:type="dxa"/>
            <w:vAlign w:val="center"/>
            <w:hideMark/>
          </w:tcPr>
          <w:p w:rsidR="002B1C67" w:rsidRPr="002B1C67" w:rsidRDefault="00BC4235" w:rsidP="004F6A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1,5</w:t>
            </w:r>
          </w:p>
        </w:tc>
      </w:tr>
      <w:tr w:rsidR="002B1C67" w:rsidRPr="002B1C67" w:rsidTr="004F6A10">
        <w:tc>
          <w:tcPr>
            <w:tcW w:w="4814" w:type="dxa"/>
            <w:hideMark/>
          </w:tcPr>
          <w:p w:rsidR="002B1C67" w:rsidRPr="002B1C67" w:rsidRDefault="00D8067E" w:rsidP="004F6A10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</w:t>
            </w:r>
            <w:r w:rsidR="005738D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оходов на еду хватает, а вот покупать одежду и оплачивать ЖКХ затруднительно</w:t>
            </w:r>
          </w:p>
        </w:tc>
        <w:tc>
          <w:tcPr>
            <w:tcW w:w="4814" w:type="dxa"/>
            <w:vAlign w:val="center"/>
            <w:hideMark/>
          </w:tcPr>
          <w:p w:rsidR="002B1C67" w:rsidRPr="002B1C67" w:rsidRDefault="00BC4235" w:rsidP="004F6A10">
            <w:pPr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23,3</w:t>
            </w:r>
          </w:p>
        </w:tc>
      </w:tr>
      <w:tr w:rsidR="002B1C67" w:rsidRPr="002B1C67" w:rsidTr="004F6A10">
        <w:tc>
          <w:tcPr>
            <w:tcW w:w="4814" w:type="dxa"/>
            <w:hideMark/>
          </w:tcPr>
          <w:p w:rsidR="002B1C67" w:rsidRPr="002B1C67" w:rsidRDefault="00BC4D55" w:rsidP="004F6A10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доходов на одежду и еду хватает, но они не могут себе позволить купить товары длительного пользования</w:t>
            </w:r>
          </w:p>
        </w:tc>
        <w:tc>
          <w:tcPr>
            <w:tcW w:w="4814" w:type="dxa"/>
            <w:vAlign w:val="center"/>
            <w:hideMark/>
          </w:tcPr>
          <w:p w:rsidR="002B1C67" w:rsidRPr="002B1C67" w:rsidRDefault="00BC4235" w:rsidP="004F6A10">
            <w:pPr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45,1</w:t>
            </w:r>
          </w:p>
        </w:tc>
      </w:tr>
      <w:tr w:rsidR="002B1C67" w:rsidRPr="002B1C67" w:rsidTr="004F6A10">
        <w:tc>
          <w:tcPr>
            <w:tcW w:w="4814" w:type="dxa"/>
            <w:hideMark/>
          </w:tcPr>
          <w:p w:rsidR="002B1C67" w:rsidRPr="002B1C67" w:rsidRDefault="00AC2333" w:rsidP="004F6A10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доходов хватает на одежду, товары длительного пользования и еду, но позволить купить авто и квартиру себе не могут</w:t>
            </w:r>
          </w:p>
        </w:tc>
        <w:tc>
          <w:tcPr>
            <w:tcW w:w="4814" w:type="dxa"/>
            <w:vAlign w:val="center"/>
            <w:hideMark/>
          </w:tcPr>
          <w:p w:rsidR="002B1C67" w:rsidRPr="002B1C67" w:rsidRDefault="00BC4235" w:rsidP="004F6A10">
            <w:pPr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26,3</w:t>
            </w:r>
          </w:p>
        </w:tc>
      </w:tr>
    </w:tbl>
    <w:p w:rsidR="00682C71" w:rsidRDefault="00682C71" w:rsidP="004D07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E40B8A" w:rsidRDefault="00E40B8A" w:rsidP="004D07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Продолжение таблицы 3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40B8A" w:rsidRPr="002B1C67" w:rsidTr="000653EF">
        <w:tc>
          <w:tcPr>
            <w:tcW w:w="4814" w:type="dxa"/>
            <w:hideMark/>
          </w:tcPr>
          <w:p w:rsidR="00E40B8A" w:rsidRPr="002B1C67" w:rsidRDefault="00855A43" w:rsidP="000653EF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доходов достаточно, чтобы позволить купить себе всё, что необходимо</w:t>
            </w:r>
          </w:p>
        </w:tc>
        <w:tc>
          <w:tcPr>
            <w:tcW w:w="4814" w:type="dxa"/>
            <w:vAlign w:val="center"/>
            <w:hideMark/>
          </w:tcPr>
          <w:p w:rsidR="00E40B8A" w:rsidRPr="002B1C67" w:rsidRDefault="00E40B8A" w:rsidP="000653EF">
            <w:pPr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2,5</w:t>
            </w:r>
          </w:p>
        </w:tc>
      </w:tr>
      <w:tr w:rsidR="00E40B8A" w:rsidRPr="002B1C67" w:rsidTr="000653EF">
        <w:tc>
          <w:tcPr>
            <w:tcW w:w="4814" w:type="dxa"/>
            <w:hideMark/>
          </w:tcPr>
          <w:p w:rsidR="00E40B8A" w:rsidRPr="002B1C67" w:rsidRDefault="00855A43" w:rsidP="000653EF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не смогли ответить</w:t>
            </w:r>
          </w:p>
        </w:tc>
        <w:tc>
          <w:tcPr>
            <w:tcW w:w="4814" w:type="dxa"/>
            <w:vAlign w:val="center"/>
            <w:hideMark/>
          </w:tcPr>
          <w:p w:rsidR="00E40B8A" w:rsidRPr="002B1C67" w:rsidRDefault="00E40B8A" w:rsidP="000653EF">
            <w:pPr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3</w:t>
            </w:r>
          </w:p>
        </w:tc>
      </w:tr>
    </w:tbl>
    <w:p w:rsidR="00E40B8A" w:rsidRDefault="00E40B8A" w:rsidP="00E4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6E4F55" w:rsidRDefault="006E4F55" w:rsidP="001943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Исходя из таблицы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3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можно сделать вывод, что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24,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%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D80D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опрошенных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считают, что </w:t>
      </w:r>
      <w:r w:rsidR="00D80D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 них достаточно денег, чтобы купить себе 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питание, но </w:t>
      </w:r>
      <w:r w:rsidR="00D80D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не хватает доходов, чтобы позволить себе </w:t>
      </w:r>
      <w:r w:rsidR="00707A4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приобрести</w:t>
      </w:r>
      <w:r w:rsidR="00D80D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одежду и опла</w:t>
      </w:r>
      <w:r w:rsidR="00D80D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тить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D80DD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ЖКХ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45,7% </w:t>
      </w:r>
      <w:r w:rsidR="00BF349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выбрали ответ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что </w:t>
      </w:r>
      <w:r w:rsidR="00BF349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их доходов хватает, чтобы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покупать</w:t>
      </w:r>
      <w:r w:rsidR="00BF349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себе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еду и одежду, но </w:t>
      </w:r>
      <w:r w:rsidR="00BF349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для них затруднительно 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покупки товаров длительного пользования.</w:t>
      </w:r>
      <w:proofErr w:type="gramEnd"/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2018 году более 86% населения России считалось бедным, если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они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оцени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вают 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свое финансовое положение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Pr="006E4F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как недостаточное для покупки товаров длительного пользования.</w:t>
      </w:r>
    </w:p>
    <w:p w:rsidR="0019435C" w:rsidRDefault="0019435C" w:rsidP="001943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9435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Из всего вышесказанного можно сделать вывод, что в современной России глобальные проблемы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 – </w:t>
      </w:r>
      <w:r w:rsidRPr="0019435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это высокий уровень бедности. В России основной функцией системы государственного управления является решение проблемы бедности, устранение социального неравенства и смягчение противоречий в нем.</w:t>
      </w:r>
    </w:p>
    <w:p w:rsidR="004D071C" w:rsidRPr="004D071C" w:rsidRDefault="00700918" w:rsidP="004D1B3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Список использованных источников</w:t>
      </w:r>
    </w:p>
    <w:p w:rsidR="001F0F62" w:rsidRPr="001F0F62" w:rsidRDefault="004D071C" w:rsidP="004D07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071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Федеральный закон от 24 октября 1997 г. N 134-ФЗ «О пр</w:t>
      </w:r>
      <w:r w:rsidR="001720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ожиточном минимуме в</w:t>
      </w:r>
      <w:r w:rsid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Российской Федерации»: </w:t>
      </w:r>
      <w:r w:rsidR="001F0F62" w:rsidRP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[</w:t>
      </w:r>
      <w:proofErr w:type="spellStart"/>
      <w:r w:rsid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федер</w:t>
      </w:r>
      <w:proofErr w:type="spellEnd"/>
      <w:r w:rsid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закон</w:t>
      </w:r>
      <w:proofErr w:type="gramStart"/>
      <w:r w:rsid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proofErr w:type="gramEnd"/>
      <w:r w:rsid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</w:t>
      </w:r>
      <w:proofErr w:type="gramEnd"/>
      <w:r w:rsid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ринят Гос. </w:t>
      </w:r>
      <w:proofErr w:type="gramStart"/>
      <w:r w:rsid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Думой 24.10.1997 г.: по состоянию на 04.06.2018</w:t>
      </w:r>
      <w:r w:rsidR="001F0F62" w:rsidRP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]</w:t>
      </w:r>
      <w:r w:rsid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proofErr w:type="gramEnd"/>
    </w:p>
    <w:p w:rsidR="00333DEC" w:rsidRDefault="004D071C" w:rsidP="004D07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F0F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 </w:t>
      </w:r>
      <w:r w:rsidRPr="004D071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Постановление Правительства РФ № 1702 от 30.12.2017 г. «О порядке установления величины прожиточного минимума на душу населения и по основным социально-демографическим группам населения в ц</w:t>
      </w:r>
      <w:r w:rsidR="00EA2FA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елом по Российской Федерации». </w:t>
      </w:r>
    </w:p>
    <w:p w:rsidR="004D071C" w:rsidRPr="004D071C" w:rsidRDefault="00F50734" w:rsidP="004D07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</w:t>
      </w:r>
      <w:r w:rsidR="00DF76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 </w:t>
      </w:r>
      <w:r w:rsidR="00000B3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Костылева Л.В., Неравенство населения России: тенденции, факторы, регулирование. – Вологда</w:t>
      </w:r>
      <w:r w:rsidR="00CD07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 2017</w:t>
      </w:r>
      <w:r w:rsidR="00817E8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 – С.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70-88.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="00DF76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</w:t>
      </w:r>
      <w:r w:rsidR="004D071C" w:rsidRPr="004D071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Литвинов В.А. Прожиточный минимум: История, методика, </w:t>
      </w:r>
      <w:r w:rsidR="00BA5A0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анализ. Изд. 2-е. – М.: ЛЕНАНД, 2010. – 280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="00DF76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</w:t>
      </w:r>
      <w:r w:rsidR="004D071C" w:rsidRPr="004D071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="00DF76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2534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Чукреев</w:t>
      </w:r>
      <w:proofErr w:type="spellEnd"/>
      <w:r w:rsidR="002534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П.А., </w:t>
      </w:r>
      <w:proofErr w:type="spellStart"/>
      <w:r w:rsidR="002534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Корытова</w:t>
      </w:r>
      <w:proofErr w:type="spellEnd"/>
      <w:r w:rsidR="002534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Е.В. Занятость населения и её регулирование. Учебное пособие.</w:t>
      </w:r>
      <w:r w:rsidR="00DF76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="002534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</w:t>
      </w:r>
      <w:r w:rsidR="00DF76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="002534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Улан-Удэ:</w:t>
      </w:r>
      <w:r w:rsidR="00253481">
        <w:t> </w:t>
      </w:r>
      <w:r w:rsidR="002534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Изд-во ВСГТУ, 2010</w:t>
      </w:r>
      <w:r w:rsidR="001720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="00172055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 </w:t>
      </w:r>
      <w:r w:rsidR="001720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 355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="00DF76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="004D071C" w:rsidRPr="004D071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BD2FD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Официальный сайт Федеральной службы государственной статистики. – 1999-2018.</w:t>
      </w:r>
      <w:r w:rsidR="00BD2FD4" w:rsidRPr="00BD2FD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BD2FD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  Электрон</w:t>
      </w:r>
      <w:proofErr w:type="gramStart"/>
      <w:r w:rsidR="00BD2FD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proofErr w:type="gramEnd"/>
      <w:r w:rsidR="001720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gramStart"/>
      <w:r w:rsidR="00BD2FD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</w:t>
      </w:r>
      <w:proofErr w:type="gramEnd"/>
      <w:r w:rsidR="00BD2FD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</w:t>
      </w:r>
      <w:r w:rsidR="001720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="00172055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 </w:t>
      </w:r>
      <w:r w:rsidR="001720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 Режим доступа: </w:t>
      </w:r>
      <w:r w:rsidR="004D071C" w:rsidRPr="004D071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http://www.gks.ru</w:t>
      </w:r>
      <w:r w:rsidR="00BD2FD4" w:rsidRPr="00BD2FD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/</w:t>
      </w:r>
      <w:r w:rsidR="00BA5A0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(дата обращения: 24.12.2019</w:t>
      </w:r>
      <w:r w:rsidR="004D071C" w:rsidRPr="004D071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г.)</w:t>
      </w:r>
    </w:p>
    <w:p w:rsidR="004D071C" w:rsidRPr="004D071C" w:rsidRDefault="004D071C" w:rsidP="004D07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071C" w:rsidRPr="004D071C" w:rsidRDefault="004D071C" w:rsidP="004D07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E2C3F" w:rsidRPr="004F6A10" w:rsidRDefault="00BE2C3F" w:rsidP="004F6A1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BE2C3F" w:rsidRPr="004F6A10" w:rsidSect="00B30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E1" w:rsidRDefault="004349E1" w:rsidP="009F2C51">
      <w:pPr>
        <w:spacing w:after="0" w:line="240" w:lineRule="auto"/>
      </w:pPr>
      <w:r>
        <w:separator/>
      </w:r>
    </w:p>
  </w:endnote>
  <w:endnote w:type="continuationSeparator" w:id="0">
    <w:p w:rsidR="004349E1" w:rsidRDefault="004349E1" w:rsidP="009F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E1" w:rsidRDefault="004349E1" w:rsidP="009F2C51">
      <w:pPr>
        <w:spacing w:after="0" w:line="240" w:lineRule="auto"/>
      </w:pPr>
      <w:r>
        <w:separator/>
      </w:r>
    </w:p>
  </w:footnote>
  <w:footnote w:type="continuationSeparator" w:id="0">
    <w:p w:rsidR="004349E1" w:rsidRDefault="004349E1" w:rsidP="009F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B85"/>
    <w:multiLevelType w:val="multilevel"/>
    <w:tmpl w:val="5B1C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115"/>
    <w:rsid w:val="00000B37"/>
    <w:rsid w:val="00000E64"/>
    <w:rsid w:val="0000145D"/>
    <w:rsid w:val="00004FB4"/>
    <w:rsid w:val="000163BA"/>
    <w:rsid w:val="00024FE9"/>
    <w:rsid w:val="000353CC"/>
    <w:rsid w:val="00044242"/>
    <w:rsid w:val="00070DCC"/>
    <w:rsid w:val="00087F88"/>
    <w:rsid w:val="000B095A"/>
    <w:rsid w:val="000C6DBE"/>
    <w:rsid w:val="000E0C6A"/>
    <w:rsid w:val="000E3B3E"/>
    <w:rsid w:val="000E7715"/>
    <w:rsid w:val="000F2319"/>
    <w:rsid w:val="00113F2B"/>
    <w:rsid w:val="00117819"/>
    <w:rsid w:val="00122339"/>
    <w:rsid w:val="00142BAA"/>
    <w:rsid w:val="0014595F"/>
    <w:rsid w:val="0014737F"/>
    <w:rsid w:val="001501E0"/>
    <w:rsid w:val="0015356E"/>
    <w:rsid w:val="00153AF6"/>
    <w:rsid w:val="00166541"/>
    <w:rsid w:val="0016797A"/>
    <w:rsid w:val="00172055"/>
    <w:rsid w:val="00182ABA"/>
    <w:rsid w:val="00193316"/>
    <w:rsid w:val="0019435C"/>
    <w:rsid w:val="001A0224"/>
    <w:rsid w:val="001A2103"/>
    <w:rsid w:val="001B0929"/>
    <w:rsid w:val="001C27BE"/>
    <w:rsid w:val="001D7713"/>
    <w:rsid w:val="001F0F62"/>
    <w:rsid w:val="001F2133"/>
    <w:rsid w:val="00214B4B"/>
    <w:rsid w:val="00223B09"/>
    <w:rsid w:val="00227A58"/>
    <w:rsid w:val="00241154"/>
    <w:rsid w:val="002439F9"/>
    <w:rsid w:val="0024451C"/>
    <w:rsid w:val="002523EE"/>
    <w:rsid w:val="00253481"/>
    <w:rsid w:val="00257542"/>
    <w:rsid w:val="0027081C"/>
    <w:rsid w:val="00284827"/>
    <w:rsid w:val="002A1109"/>
    <w:rsid w:val="002A7C70"/>
    <w:rsid w:val="002B1C67"/>
    <w:rsid w:val="002B235D"/>
    <w:rsid w:val="002E3FB7"/>
    <w:rsid w:val="00320B38"/>
    <w:rsid w:val="00324FEC"/>
    <w:rsid w:val="00332D1A"/>
    <w:rsid w:val="00332D60"/>
    <w:rsid w:val="00333DEC"/>
    <w:rsid w:val="003358A1"/>
    <w:rsid w:val="003427C5"/>
    <w:rsid w:val="0036060F"/>
    <w:rsid w:val="0036160C"/>
    <w:rsid w:val="0036283D"/>
    <w:rsid w:val="00366A51"/>
    <w:rsid w:val="00396D5D"/>
    <w:rsid w:val="003D41F8"/>
    <w:rsid w:val="003D5AFD"/>
    <w:rsid w:val="00413746"/>
    <w:rsid w:val="004225F1"/>
    <w:rsid w:val="004251AF"/>
    <w:rsid w:val="00433B0E"/>
    <w:rsid w:val="004349E1"/>
    <w:rsid w:val="00442267"/>
    <w:rsid w:val="00446EB4"/>
    <w:rsid w:val="00485F56"/>
    <w:rsid w:val="00487329"/>
    <w:rsid w:val="004A1714"/>
    <w:rsid w:val="004A6F61"/>
    <w:rsid w:val="004B5C65"/>
    <w:rsid w:val="004D071C"/>
    <w:rsid w:val="004D1B3D"/>
    <w:rsid w:val="004D5C7B"/>
    <w:rsid w:val="004D725C"/>
    <w:rsid w:val="004E1766"/>
    <w:rsid w:val="004F6A10"/>
    <w:rsid w:val="004F796D"/>
    <w:rsid w:val="00506DFC"/>
    <w:rsid w:val="005262F6"/>
    <w:rsid w:val="005335EA"/>
    <w:rsid w:val="0054249E"/>
    <w:rsid w:val="0055221B"/>
    <w:rsid w:val="00561F25"/>
    <w:rsid w:val="005738D7"/>
    <w:rsid w:val="0059513D"/>
    <w:rsid w:val="005B14DA"/>
    <w:rsid w:val="005C3CA7"/>
    <w:rsid w:val="005C4F6F"/>
    <w:rsid w:val="005D2D08"/>
    <w:rsid w:val="005D2FE1"/>
    <w:rsid w:val="005D5317"/>
    <w:rsid w:val="005E7903"/>
    <w:rsid w:val="005E7A47"/>
    <w:rsid w:val="00614E54"/>
    <w:rsid w:val="00623543"/>
    <w:rsid w:val="006403AC"/>
    <w:rsid w:val="00640CFB"/>
    <w:rsid w:val="006547FA"/>
    <w:rsid w:val="00663C50"/>
    <w:rsid w:val="00682C71"/>
    <w:rsid w:val="006B3437"/>
    <w:rsid w:val="006B6ACE"/>
    <w:rsid w:val="006E21B0"/>
    <w:rsid w:val="006E4F55"/>
    <w:rsid w:val="006F0946"/>
    <w:rsid w:val="00700918"/>
    <w:rsid w:val="00700E88"/>
    <w:rsid w:val="00705619"/>
    <w:rsid w:val="00707A42"/>
    <w:rsid w:val="0071345D"/>
    <w:rsid w:val="00752C6A"/>
    <w:rsid w:val="0075398C"/>
    <w:rsid w:val="0079447B"/>
    <w:rsid w:val="007A749A"/>
    <w:rsid w:val="007B49E6"/>
    <w:rsid w:val="007D7FA9"/>
    <w:rsid w:val="007E4952"/>
    <w:rsid w:val="00801CB8"/>
    <w:rsid w:val="00805834"/>
    <w:rsid w:val="0080672E"/>
    <w:rsid w:val="00807101"/>
    <w:rsid w:val="00816B43"/>
    <w:rsid w:val="00817E8B"/>
    <w:rsid w:val="00827E39"/>
    <w:rsid w:val="00835E93"/>
    <w:rsid w:val="00846342"/>
    <w:rsid w:val="00850A8C"/>
    <w:rsid w:val="008544D1"/>
    <w:rsid w:val="00854537"/>
    <w:rsid w:val="00855A43"/>
    <w:rsid w:val="008630CC"/>
    <w:rsid w:val="008A4461"/>
    <w:rsid w:val="008A511F"/>
    <w:rsid w:val="008B0503"/>
    <w:rsid w:val="008B4169"/>
    <w:rsid w:val="008B506F"/>
    <w:rsid w:val="008C072A"/>
    <w:rsid w:val="008C4E18"/>
    <w:rsid w:val="008F3EC3"/>
    <w:rsid w:val="009022D5"/>
    <w:rsid w:val="00902CCF"/>
    <w:rsid w:val="009046A4"/>
    <w:rsid w:val="009059BC"/>
    <w:rsid w:val="00910977"/>
    <w:rsid w:val="0092122B"/>
    <w:rsid w:val="00932905"/>
    <w:rsid w:val="00937520"/>
    <w:rsid w:val="0094043C"/>
    <w:rsid w:val="009446A4"/>
    <w:rsid w:val="00956B64"/>
    <w:rsid w:val="009574D1"/>
    <w:rsid w:val="00957631"/>
    <w:rsid w:val="00971C71"/>
    <w:rsid w:val="00975508"/>
    <w:rsid w:val="009935A8"/>
    <w:rsid w:val="00993649"/>
    <w:rsid w:val="00993A5A"/>
    <w:rsid w:val="009F2C51"/>
    <w:rsid w:val="00A07455"/>
    <w:rsid w:val="00A11884"/>
    <w:rsid w:val="00A239AB"/>
    <w:rsid w:val="00A37A70"/>
    <w:rsid w:val="00A40A9A"/>
    <w:rsid w:val="00A417D5"/>
    <w:rsid w:val="00A56483"/>
    <w:rsid w:val="00A63D5D"/>
    <w:rsid w:val="00A92C25"/>
    <w:rsid w:val="00AA000D"/>
    <w:rsid w:val="00AB5DF5"/>
    <w:rsid w:val="00AC2333"/>
    <w:rsid w:val="00AE1273"/>
    <w:rsid w:val="00AE3BAA"/>
    <w:rsid w:val="00AE5026"/>
    <w:rsid w:val="00AF1CCC"/>
    <w:rsid w:val="00B07867"/>
    <w:rsid w:val="00B1288D"/>
    <w:rsid w:val="00B23D92"/>
    <w:rsid w:val="00B30115"/>
    <w:rsid w:val="00B33806"/>
    <w:rsid w:val="00B428DE"/>
    <w:rsid w:val="00B541FD"/>
    <w:rsid w:val="00B55B20"/>
    <w:rsid w:val="00B6337B"/>
    <w:rsid w:val="00B63B35"/>
    <w:rsid w:val="00B641DD"/>
    <w:rsid w:val="00B650EB"/>
    <w:rsid w:val="00B65CA1"/>
    <w:rsid w:val="00B929C6"/>
    <w:rsid w:val="00B93CF3"/>
    <w:rsid w:val="00B97DBD"/>
    <w:rsid w:val="00BA5A0C"/>
    <w:rsid w:val="00BB0329"/>
    <w:rsid w:val="00BC4235"/>
    <w:rsid w:val="00BC47A3"/>
    <w:rsid w:val="00BC4D55"/>
    <w:rsid w:val="00BD2FD4"/>
    <w:rsid w:val="00BE2C3F"/>
    <w:rsid w:val="00BE6110"/>
    <w:rsid w:val="00BF349B"/>
    <w:rsid w:val="00BF633F"/>
    <w:rsid w:val="00C050B4"/>
    <w:rsid w:val="00C1214D"/>
    <w:rsid w:val="00C3129D"/>
    <w:rsid w:val="00C4128B"/>
    <w:rsid w:val="00C43F1F"/>
    <w:rsid w:val="00C53460"/>
    <w:rsid w:val="00C53644"/>
    <w:rsid w:val="00C55426"/>
    <w:rsid w:val="00C6351E"/>
    <w:rsid w:val="00C70E55"/>
    <w:rsid w:val="00C971E0"/>
    <w:rsid w:val="00CB4144"/>
    <w:rsid w:val="00CD07A9"/>
    <w:rsid w:val="00CE421B"/>
    <w:rsid w:val="00CE6F8D"/>
    <w:rsid w:val="00CF1035"/>
    <w:rsid w:val="00CF31D9"/>
    <w:rsid w:val="00CF7457"/>
    <w:rsid w:val="00D06623"/>
    <w:rsid w:val="00D157A5"/>
    <w:rsid w:val="00D22F97"/>
    <w:rsid w:val="00D238BB"/>
    <w:rsid w:val="00D27E70"/>
    <w:rsid w:val="00D31EAE"/>
    <w:rsid w:val="00D378CB"/>
    <w:rsid w:val="00D50A21"/>
    <w:rsid w:val="00D62F66"/>
    <w:rsid w:val="00D73598"/>
    <w:rsid w:val="00D755ED"/>
    <w:rsid w:val="00D8067E"/>
    <w:rsid w:val="00D80DD7"/>
    <w:rsid w:val="00D901C2"/>
    <w:rsid w:val="00D933B8"/>
    <w:rsid w:val="00D951F5"/>
    <w:rsid w:val="00DC5FA5"/>
    <w:rsid w:val="00DD2434"/>
    <w:rsid w:val="00DD696E"/>
    <w:rsid w:val="00DF3EC2"/>
    <w:rsid w:val="00DF58A9"/>
    <w:rsid w:val="00DF764E"/>
    <w:rsid w:val="00E01A13"/>
    <w:rsid w:val="00E10693"/>
    <w:rsid w:val="00E12ECC"/>
    <w:rsid w:val="00E30644"/>
    <w:rsid w:val="00E34A91"/>
    <w:rsid w:val="00E368E8"/>
    <w:rsid w:val="00E40B8A"/>
    <w:rsid w:val="00E40E3C"/>
    <w:rsid w:val="00E50F80"/>
    <w:rsid w:val="00E5655F"/>
    <w:rsid w:val="00E6071A"/>
    <w:rsid w:val="00E76FBC"/>
    <w:rsid w:val="00E86C7C"/>
    <w:rsid w:val="00E871CC"/>
    <w:rsid w:val="00EA1100"/>
    <w:rsid w:val="00EA2FAE"/>
    <w:rsid w:val="00EB3BF0"/>
    <w:rsid w:val="00EB451B"/>
    <w:rsid w:val="00EB4C7D"/>
    <w:rsid w:val="00EB5000"/>
    <w:rsid w:val="00EB7A99"/>
    <w:rsid w:val="00EC2A21"/>
    <w:rsid w:val="00EC778A"/>
    <w:rsid w:val="00ED20CC"/>
    <w:rsid w:val="00EF2272"/>
    <w:rsid w:val="00F02B6F"/>
    <w:rsid w:val="00F067AE"/>
    <w:rsid w:val="00F306EB"/>
    <w:rsid w:val="00F33584"/>
    <w:rsid w:val="00F34B77"/>
    <w:rsid w:val="00F368E4"/>
    <w:rsid w:val="00F423B8"/>
    <w:rsid w:val="00F47F78"/>
    <w:rsid w:val="00F50734"/>
    <w:rsid w:val="00F63BBA"/>
    <w:rsid w:val="00F82DA7"/>
    <w:rsid w:val="00F846EB"/>
    <w:rsid w:val="00F935B0"/>
    <w:rsid w:val="00FA0263"/>
    <w:rsid w:val="00FB6E65"/>
    <w:rsid w:val="00FD651B"/>
    <w:rsid w:val="00FE3036"/>
    <w:rsid w:val="00FF1DF1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E5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5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8B0503"/>
    <w:rPr>
      <w:i/>
      <w:iCs/>
    </w:rPr>
  </w:style>
  <w:style w:type="paragraph" w:styleId="a6">
    <w:name w:val="List Paragraph"/>
    <w:basedOn w:val="a"/>
    <w:uiPriority w:val="34"/>
    <w:qFormat/>
    <w:rsid w:val="004D5C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B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F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C51"/>
  </w:style>
  <w:style w:type="paragraph" w:styleId="ac">
    <w:name w:val="footer"/>
    <w:basedOn w:val="a"/>
    <w:link w:val="ad"/>
    <w:uiPriority w:val="99"/>
    <w:unhideWhenUsed/>
    <w:rsid w:val="009F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dashavjazma@yandex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29792</c:v>
                </c:pt>
                <c:pt idx="1">
                  <c:v>32495</c:v>
                </c:pt>
                <c:pt idx="2">
                  <c:v>34030</c:v>
                </c:pt>
                <c:pt idx="3">
                  <c:v>36709</c:v>
                </c:pt>
                <c:pt idx="4">
                  <c:v>39167</c:v>
                </c:pt>
                <c:pt idx="5">
                  <c:v>48030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Медианная ЗП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21268</c:v>
                </c:pt>
                <c:pt idx="1">
                  <c:v>23800</c:v>
                </c:pt>
                <c:pt idx="2">
                  <c:v>24869</c:v>
                </c:pt>
                <c:pt idx="3">
                  <c:v>26544</c:v>
                </c:pt>
                <c:pt idx="4">
                  <c:v>28345</c:v>
                </c:pt>
                <c:pt idx="5">
                  <c:v>34335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Модальная ЗП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5577</c:v>
                </c:pt>
                <c:pt idx="1">
                  <c:v>14022</c:v>
                </c:pt>
                <c:pt idx="2">
                  <c:v>17479</c:v>
                </c:pt>
                <c:pt idx="3">
                  <c:v>17559</c:v>
                </c:pt>
                <c:pt idx="4">
                  <c:v>17630</c:v>
                </c:pt>
                <c:pt idx="5">
                  <c:v>23500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94304"/>
        <c:axId val="112196608"/>
      </c:barChart>
      <c:catAx>
        <c:axId val="11219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196608"/>
        <c:crosses val="autoZero"/>
        <c:auto val="1"/>
        <c:lblAlgn val="ctr"/>
        <c:lblOffset val="100"/>
        <c:noMultiLvlLbl val="0"/>
      </c:catAx>
      <c:valAx>
        <c:axId val="11219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194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2.4216347956505437E-2"/>
          <c:w val="0.86367290026246724"/>
          <c:h val="0.6038372537546322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 человек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42.3</c:v>
                </c:pt>
                <c:pt idx="1">
                  <c:v>40</c:v>
                </c:pt>
                <c:pt idx="2">
                  <c:v>35.6</c:v>
                </c:pt>
                <c:pt idx="3">
                  <c:v>29.3</c:v>
                </c:pt>
                <c:pt idx="4">
                  <c:v>25.2</c:v>
                </c:pt>
                <c:pt idx="5">
                  <c:v>25.4</c:v>
                </c:pt>
                <c:pt idx="6">
                  <c:v>21.6</c:v>
                </c:pt>
                <c:pt idx="7">
                  <c:v>18.8</c:v>
                </c:pt>
                <c:pt idx="8">
                  <c:v>19</c:v>
                </c:pt>
                <c:pt idx="9">
                  <c:v>18.399999999999999</c:v>
                </c:pt>
                <c:pt idx="10">
                  <c:v>17.7</c:v>
                </c:pt>
                <c:pt idx="11">
                  <c:v>17.899999999999999</c:v>
                </c:pt>
                <c:pt idx="12">
                  <c:v>15.4</c:v>
                </c:pt>
                <c:pt idx="13">
                  <c:v>15.5</c:v>
                </c:pt>
                <c:pt idx="14">
                  <c:v>16.100000000000001</c:v>
                </c:pt>
                <c:pt idx="15">
                  <c:v>19.5</c:v>
                </c:pt>
                <c:pt idx="16">
                  <c:v>19.8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процентах от общей численности населения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29</c:v>
                </c:pt>
                <c:pt idx="1">
                  <c:v>27.5</c:v>
                </c:pt>
                <c:pt idx="2">
                  <c:v>24.6</c:v>
                </c:pt>
                <c:pt idx="3">
                  <c:v>20.3</c:v>
                </c:pt>
                <c:pt idx="4">
                  <c:v>17.600000000000001</c:v>
                </c:pt>
                <c:pt idx="5">
                  <c:v>17.8</c:v>
                </c:pt>
                <c:pt idx="6">
                  <c:v>15.2</c:v>
                </c:pt>
                <c:pt idx="7">
                  <c:v>13.3</c:v>
                </c:pt>
                <c:pt idx="8">
                  <c:v>13.4</c:v>
                </c:pt>
                <c:pt idx="9">
                  <c:v>13</c:v>
                </c:pt>
                <c:pt idx="10">
                  <c:v>12.5</c:v>
                </c:pt>
                <c:pt idx="11">
                  <c:v>12.7</c:v>
                </c:pt>
                <c:pt idx="12">
                  <c:v>10.7</c:v>
                </c:pt>
                <c:pt idx="13">
                  <c:v>10.8</c:v>
                </c:pt>
                <c:pt idx="14">
                  <c:v>11.2</c:v>
                </c:pt>
                <c:pt idx="15">
                  <c:v>13.3</c:v>
                </c:pt>
                <c:pt idx="16">
                  <c:v>13.5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104192"/>
        <c:axId val="121775232"/>
      </c:barChart>
      <c:catAx>
        <c:axId val="11610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775232"/>
        <c:crosses val="autoZero"/>
        <c:auto val="1"/>
        <c:lblAlgn val="ctr"/>
        <c:lblOffset val="100"/>
        <c:noMultiLvlLbl val="0"/>
      </c:catAx>
      <c:valAx>
        <c:axId val="12177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10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320027704870226"/>
          <c:y val="0.73196194225721789"/>
          <c:w val="0.45596638961796443"/>
          <c:h val="0.21074557408826733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в возрасте до 16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27.9</c:v>
                </c:pt>
                <c:pt idx="1">
                  <c:v>28.4</c:v>
                </c:pt>
                <c:pt idx="2">
                  <c:v>28.4</c:v>
                </c:pt>
                <c:pt idx="3">
                  <c:v>29.2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Молодёжь в возрасте 16-30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22.1</c:v>
                </c:pt>
                <c:pt idx="1">
                  <c:v>20.8</c:v>
                </c:pt>
                <c:pt idx="2">
                  <c:v>20.2</c:v>
                </c:pt>
                <c:pt idx="3">
                  <c:v>18.7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Лица трудоспособного возраста старше 30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39.299999999999997</c:v>
                </c:pt>
                <c:pt idx="1">
                  <c:v>39.6</c:v>
                </c:pt>
                <c:pt idx="2">
                  <c:v>39.6</c:v>
                </c:pt>
                <c:pt idx="3">
                  <c:v>39.299999999999997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Население старше трудоспособного возраста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10.7</c:v>
                </c:pt>
                <c:pt idx="1">
                  <c:v>11.2</c:v>
                </c:pt>
                <c:pt idx="2">
                  <c:v>11.8</c:v>
                </c:pt>
                <c:pt idx="3">
                  <c:v>12.8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22260864"/>
        <c:axId val="122582144"/>
      </c:barChart>
      <c:catAx>
        <c:axId val="12226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582144"/>
        <c:crosses val="autoZero"/>
        <c:auto val="1"/>
        <c:lblAlgn val="ctr"/>
        <c:lblOffset val="100"/>
        <c:noMultiLvlLbl val="0"/>
      </c:catAx>
      <c:valAx>
        <c:axId val="122582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2260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718592177429736"/>
          <c:y val="0.64765318763954516"/>
          <c:w val="0.62784629774894174"/>
          <c:h val="0.3133927287576999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C2DA-D93E-4013-86BF-22668FA4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book</cp:lastModifiedBy>
  <cp:revision>463</cp:revision>
  <cp:lastPrinted>2020-01-14T17:36:00Z</cp:lastPrinted>
  <dcterms:created xsi:type="dcterms:W3CDTF">2020-01-06T09:25:00Z</dcterms:created>
  <dcterms:modified xsi:type="dcterms:W3CDTF">2020-01-14T17:45:00Z</dcterms:modified>
</cp:coreProperties>
</file>