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C4" w:rsidRDefault="008F76C4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C4" w:rsidRPr="008F76C4" w:rsidRDefault="008F76C4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17C7A" w:rsidRDefault="00117C7A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17C7A" w:rsidRPr="00117C7A" w:rsidRDefault="00117C7A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3F16E2" w:rsidP="00B61369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B5C" w:rsidRDefault="003F16E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7A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………………………………………………………...……….…</w:t>
      </w:r>
      <w:r w:rsidR="001B2FB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12EF4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B2F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05B5C" w:rsidRDefault="003F16E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Общая характеристика</w:t>
      </w:r>
      <w:r w:rsidR="008F76C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…………………...….……….……</w:t>
      </w:r>
      <w:r w:rsidR="00312EF4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B2FBA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05B5C" w:rsidRDefault="003F16E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Технико-эконом</w:t>
      </w:r>
      <w:r w:rsidR="008F76C4">
        <w:rPr>
          <w:rFonts w:ascii="Times New Roman" w:eastAsia="Times New Roman" w:hAnsi="Times New Roman" w:cs="Times New Roman"/>
          <w:sz w:val="28"/>
          <w:szCs w:val="28"/>
        </w:rPr>
        <w:t>ический анализ деятельности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1B2FB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12EF4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B2F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05B5C" w:rsidRPr="001B2FBA" w:rsidRDefault="003F16E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Анализа логистической деятельности</w:t>
      </w:r>
      <w:r w:rsidR="008F76C4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312EF4">
        <w:rPr>
          <w:rFonts w:ascii="Times New Roman" w:eastAsia="Times New Roman" w:hAnsi="Times New Roman" w:cs="Times New Roman"/>
          <w:sz w:val="28"/>
          <w:szCs w:val="28"/>
        </w:rPr>
        <w:t>……….……...………..17</w:t>
      </w:r>
    </w:p>
    <w:p w:rsidR="00E05B5C" w:rsidRPr="001B2FBA" w:rsidRDefault="00730EDB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4Анализ системы управления запасами предприятия ООО «Сектор»…….20</w:t>
      </w:r>
    </w:p>
    <w:p w:rsidR="00E05B5C" w:rsidRPr="001B2FBA" w:rsidRDefault="003F16E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7A">
        <w:rPr>
          <w:rFonts w:ascii="Times New Roman" w:eastAsia="Times New Roman" w:hAnsi="Times New Roman" w:cs="Times New Roman"/>
          <w:b/>
          <w:sz w:val="28"/>
          <w:szCs w:val="28"/>
        </w:rPr>
        <w:t>Заключени</w:t>
      </w:r>
      <w:r w:rsidR="00226B18" w:rsidRPr="00117C7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12EF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……………………………………………………………………...23</w:t>
      </w:r>
    </w:p>
    <w:p w:rsidR="00E05B5C" w:rsidRDefault="0082433D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7A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312EF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……………………………………………………………………..25</w:t>
      </w: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3F16E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C4" w:rsidRDefault="008F76C4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C4" w:rsidRPr="008F76C4" w:rsidRDefault="008F76C4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Pr="00312EF4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C7A" w:rsidRPr="00312EF4" w:rsidRDefault="00117C7A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C7A" w:rsidRPr="00312EF4" w:rsidRDefault="00117C7A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EDB" w:rsidRDefault="00730EDB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3" w:rsidRDefault="003F16E2" w:rsidP="0014029F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4029F" w:rsidRDefault="0014029F" w:rsidP="0014029F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9F" w:rsidRDefault="0014029F" w:rsidP="0014029F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B5C" w:rsidRDefault="003F16E2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проходилась в компании ООО «Сектор» которая располагается по адресу: город Южно-Сахалинск,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ира 1В.</w:t>
      </w:r>
    </w:p>
    <w:p w:rsidR="00E05B5C" w:rsidRDefault="003F16E2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преддипломной практики состоит в том, чтобы закрепить теоретические знания, полученные во время аудиторных занятий, преддипломной практики, приобрести профессиональные умения и навыки в области торгово-технологической деятельности, собрать и обобщить материалы по написанию выпускной квалификационной работы.</w:t>
      </w:r>
    </w:p>
    <w:p w:rsidR="00E05B5C" w:rsidRDefault="003F16E2" w:rsidP="0044364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Важной целью </w:t>
      </w:r>
      <w:r w:rsidRPr="00443643"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является приобщение к социальной среде предприятия, для приобретения социально-личностных компетенций, необходимых в процессе работы в профессиональной среде.</w:t>
      </w:r>
    </w:p>
    <w:p w:rsidR="00E05B5C" w:rsidRDefault="003F16E2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преддипломной практики являются:</w:t>
      </w:r>
    </w:p>
    <w:p w:rsidR="00443643" w:rsidRPr="00886504" w:rsidRDefault="00443643" w:rsidP="004436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04">
        <w:rPr>
          <w:rFonts w:ascii="Times New Roman" w:eastAsia="Times New Roman" w:hAnsi="Times New Roman" w:cs="Times New Roman"/>
          <w:sz w:val="28"/>
          <w:szCs w:val="28"/>
        </w:rPr>
        <w:t>- охарактер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изовать предприятие «Сектор»</w:t>
      </w:r>
      <w:r w:rsidRPr="008865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643" w:rsidRDefault="00443643" w:rsidP="004436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04">
        <w:rPr>
          <w:rFonts w:ascii="Times New Roman" w:eastAsia="Times New Roman" w:hAnsi="Times New Roman" w:cs="Times New Roman"/>
          <w:sz w:val="28"/>
          <w:szCs w:val="28"/>
        </w:rPr>
        <w:t xml:space="preserve">- провести анализ </w:t>
      </w:r>
      <w:r>
        <w:rPr>
          <w:rFonts w:ascii="Times New Roman" w:eastAsia="Times New Roman" w:hAnsi="Times New Roman" w:cs="Times New Roman"/>
          <w:sz w:val="28"/>
          <w:szCs w:val="28"/>
        </w:rPr>
        <w:t>технико-экономических показателей организации;</w:t>
      </w:r>
    </w:p>
    <w:p w:rsidR="00443643" w:rsidRDefault="00443643" w:rsidP="004436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провести 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«Сектор»;</w:t>
      </w:r>
    </w:p>
    <w:p w:rsidR="00443643" w:rsidRDefault="00443643" w:rsidP="00443643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выявить основные недостатки, влияющие на управление запасами в ООО «Сектор;</w:t>
      </w:r>
    </w:p>
    <w:p w:rsidR="00443643" w:rsidRDefault="00443643" w:rsidP="00443643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предложить основные направления совершенствования управления запасами на предприятии ООО «Сектор».</w:t>
      </w: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3" w:rsidRDefault="00443643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3" w:rsidRDefault="00443643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3" w:rsidRDefault="00443643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C7A" w:rsidRPr="00887953" w:rsidRDefault="00117C7A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Pr="009241BC" w:rsidRDefault="003F16E2" w:rsidP="008F76C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 w:rsidR="009241BC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E05B5C" w:rsidRDefault="00E05B5C" w:rsidP="008F76C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B5C" w:rsidRDefault="00E05B5C" w:rsidP="008F76C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B5C" w:rsidRDefault="003F16E2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7A">
        <w:rPr>
          <w:rFonts w:ascii="Times New Roman" w:eastAsia="Times New Roman" w:hAnsi="Times New Roman" w:cs="Times New Roman"/>
          <w:sz w:val="28"/>
          <w:szCs w:val="28"/>
        </w:rPr>
        <w:t xml:space="preserve">Группа компаний «Сектор» работает на рынке </w:t>
      </w:r>
      <w:proofErr w:type="spellStart"/>
      <w:r w:rsidRPr="00117C7A">
        <w:rPr>
          <w:rFonts w:ascii="Times New Roman" w:eastAsia="Times New Roman" w:hAnsi="Times New Roman" w:cs="Times New Roman"/>
          <w:sz w:val="28"/>
          <w:szCs w:val="28"/>
        </w:rPr>
        <w:t>металлоснабжения</w:t>
      </w:r>
      <w:proofErr w:type="spellEnd"/>
      <w:r w:rsidRPr="00117C7A">
        <w:rPr>
          <w:rFonts w:ascii="Times New Roman" w:eastAsia="Times New Roman" w:hAnsi="Times New Roman" w:cs="Times New Roman"/>
          <w:sz w:val="28"/>
          <w:szCs w:val="28"/>
        </w:rPr>
        <w:t xml:space="preserve"> и поставок строительных материалов по Сахалинской области с 13 апреля 1992 года.</w:t>
      </w:r>
      <w:r w:rsidR="00B6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Стратегической для развития страны и незаменимой для решения широкого 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повседневных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бизнес-задач каждого человека. </w:t>
      </w:r>
      <w:r w:rsidRPr="00117C7A">
        <w:rPr>
          <w:rFonts w:ascii="Times New Roman" w:eastAsia="Times New Roman" w:hAnsi="Times New Roman" w:cs="Times New Roman"/>
          <w:sz w:val="28"/>
          <w:szCs w:val="28"/>
        </w:rPr>
        <w:t>Обширная территория базы и собственные склады, позволяют постоянно иметь в наличии солидный резерв и большой ассортимент продукции. Грамотный менеджмент и гибкое производство, помогают оперативно реагировать на изменения рынка. Среди важных преимуществ «Сектора» — абсолютная самостоятельность, наличие всей необходимой технической инфра­структуры, оборудования, кранов, станков, грузового транспорта на единой площади.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B5C" w:rsidRDefault="003F16E2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клиентами и партнерами филиала являются строительные организации, заводы ЖБИ и металлоконструкций, предприятия энергетической отрасли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металлотрейдеры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Компания обладает самой широкой ассортиментной линейкой трубной продукции, плоского проката и металлопроката. Выполняет заказы различной сложности и комплектности - от нескольких сотен килограммов при продаже со склада до вагонных поставок в любую точку России и ближнего зарубежья.</w:t>
      </w:r>
    </w:p>
    <w:p w:rsidR="00E05B5C" w:rsidRDefault="003F16E2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Поставка продукции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складского комплекса. Складской комплекс имеет 3 въезда, 2 крана: мостовой и башенный, крытая и открытая площадки.  Политика компании 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направлена, в первую очередь, на расширение сервисных услуг своим клиентам в основных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металлопотребляющих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сегментах экономики - энергетике, строительстве и жилищно-коммунальном хозяйстве, а также в энергетическом и тяжелом машиностроении и топливно-энергетическом комплексе.</w:t>
      </w:r>
    </w:p>
    <w:p w:rsidR="00E05B5C" w:rsidRDefault="003F16E2" w:rsidP="00AC25FB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стабильному сотрудничеству с  ведущими  производителями  страны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клиенто-ориентированной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сбытовой политике, клиентская база  насчитывает более 10 тысяч заказчиков. Мы с удовольствием обслуживаем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любых наших клиентов - от небольшой частной компании до гигантов.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Динамичное развитие компании, широкий ассортимент продукции, индивидуальный подход к клиентам, конкурентные цены, профессионализм сотрудников, удобное расположение складов, гибкая система скидок - все это в полной мере позволяет отвечать потребностям рынка.</w:t>
      </w:r>
    </w:p>
    <w:p w:rsidR="00E05B5C" w:rsidRDefault="003F16E2" w:rsidP="00AC25FB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основными видами своей деятельности предприятие осуществляет взаимоотношения с юридическими и физическими лицами на основе договоров по реализации товаров, оказания услуг, выполнение работ; самостоятельно планирует и осуществляет хозяйственную деятельность, исходя из реального спроса и в пределах направления деятельности.</w:t>
      </w:r>
    </w:p>
    <w:p w:rsidR="00E05B5C" w:rsidRDefault="003F16E2" w:rsidP="00AC25FB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Предприятие осуществляет оперативный и бухгалтерский учет результатов деятельности, предоставляет государственным органам информацию, необходимую для налогообложения и ведения общегосударственной системы сбора и обработки экономической информации.</w:t>
      </w:r>
    </w:p>
    <w:p w:rsidR="009241BC" w:rsidRDefault="003F16E2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состав группы компании «Сектор» входят:</w:t>
      </w:r>
    </w:p>
    <w:p w:rsidR="00E05B5C" w:rsidRPr="009241BC" w:rsidRDefault="00443643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ООО «Сектор» занимается продажей металлопроката  высокого качества по доступным ценам, а также оказывает дополнительные услуги: протяжка </w:t>
      </w:r>
      <w:proofErr w:type="spellStart"/>
      <w:r w:rsidR="003F16E2">
        <w:rPr>
          <w:rFonts w:ascii="Times New Roman" w:eastAsia="Times New Roman" w:hAnsi="Times New Roman" w:cs="Times New Roman"/>
          <w:sz w:val="28"/>
          <w:szCs w:val="28"/>
        </w:rPr>
        <w:t>бухтового</w:t>
      </w:r>
      <w:proofErr w:type="spellEnd"/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металлопроката,  резка и рубка металла. Кроме того, к вашим услугам удобный складской комплекс, оперативная погрузка и индивидуальный подход к каждому клиенту, независимо от того, кто вы и какие у вас потребности: компания, которой необходим большой тоннаж или сахалинец, который строит дом.</w:t>
      </w:r>
    </w:p>
    <w:p w:rsidR="00E05B5C" w:rsidRDefault="00443643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ООО «МПК» изготавливает и реализует кованные и металлические изделия. Это не только обширный каталог ограждений, ворот, перил, скамеек и мангалов, но и практичные стеллажи,  дуги для теплиц, урны,  мусорные баки, а также изготовление </w:t>
      </w:r>
      <w:proofErr w:type="spellStart"/>
      <w:r w:rsidR="003F16E2">
        <w:rPr>
          <w:rFonts w:ascii="Times New Roman" w:eastAsia="Times New Roman" w:hAnsi="Times New Roman" w:cs="Times New Roman"/>
          <w:sz w:val="28"/>
          <w:szCs w:val="28"/>
        </w:rPr>
        <w:t>профнастила</w:t>
      </w:r>
      <w:proofErr w:type="spellEnd"/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с высотой волны 10 мм 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мм длинной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F16E2">
        <w:rPr>
          <w:rFonts w:ascii="Times New Roman" w:eastAsia="Times New Roman" w:hAnsi="Times New Roman" w:cs="Times New Roman"/>
          <w:sz w:val="28"/>
          <w:szCs w:val="28"/>
        </w:rPr>
        <w:t>ачественное</w:t>
      </w:r>
      <w:proofErr w:type="spellEnd"/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и профессиональный монтаж наших изделий удовлетворит  самый взыскательный вкус.</w:t>
      </w:r>
    </w:p>
    <w:p w:rsidR="00E05B5C" w:rsidRDefault="00443643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-ООО«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СтройМаксимум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специализируется на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стройматериалов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3F16E2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F16E2">
        <w:rPr>
          <w:rFonts w:ascii="Times New Roman" w:eastAsia="Times New Roman" w:hAnsi="Times New Roman" w:cs="Times New Roman"/>
          <w:sz w:val="28"/>
          <w:szCs w:val="28"/>
        </w:rPr>
        <w:t>СтройМаксимума</w:t>
      </w:r>
      <w:proofErr w:type="spellEnd"/>
      <w:r w:rsidR="003F16E2">
        <w:rPr>
          <w:rFonts w:ascii="Times New Roman" w:eastAsia="Times New Roman" w:hAnsi="Times New Roman" w:cs="Times New Roman"/>
          <w:sz w:val="28"/>
          <w:szCs w:val="28"/>
        </w:rPr>
        <w:t>» не существует слишком «мелких» клиентов. Так что строительные материалы здесь можно приобрести и мелким оптом, и поштучно.</w:t>
      </w:r>
    </w:p>
    <w:p w:rsidR="00E05B5C" w:rsidRDefault="00443643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ООО «САТО» занимается перевозками товаров со склада группы компании до клиента по югу Сахалинской области, а также предоставляет услуги аренды грузовых автомобилей и специальной техники (фронтальный погрузчик, услуги автокрана).  Осуществляет </w:t>
      </w:r>
      <w:proofErr w:type="gramStart"/>
      <w:r w:rsidR="003F16E2">
        <w:rPr>
          <w:rFonts w:ascii="Times New Roman" w:eastAsia="Times New Roman" w:hAnsi="Times New Roman" w:cs="Times New Roman"/>
          <w:sz w:val="28"/>
          <w:szCs w:val="28"/>
        </w:rPr>
        <w:t>оперативное</w:t>
      </w:r>
      <w:proofErr w:type="gramEnd"/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="003F16E2">
        <w:rPr>
          <w:rFonts w:ascii="Times New Roman" w:eastAsia="Times New Roman" w:hAnsi="Times New Roman" w:cs="Times New Roman"/>
          <w:sz w:val="28"/>
          <w:szCs w:val="28"/>
        </w:rPr>
        <w:t>офисно-складским</w:t>
      </w:r>
      <w:proofErr w:type="spellEnd"/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комплексом, предоставлением в аренду офисных и складских площадей.</w:t>
      </w:r>
    </w:p>
    <w:p w:rsidR="00E05B5C" w:rsidRDefault="003F16E2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хозяйственной деятельности Общества является извлечение прибыли путем планирования, маркетинга, создания и эксплуатации сетей связи и сооружений связи, и оказания услуг связи на территориях, указанных в лицензиях, выдаваемых Обществу уполномоченным органом государственной власти.</w:t>
      </w:r>
    </w:p>
    <w:p w:rsidR="00E05B5C" w:rsidRDefault="00117C7A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осуществление расчетов с клиентами, а также коммерческое и финансовое управление сетью в соответствии с принятой международной практикой;</w:t>
      </w:r>
    </w:p>
    <w:p w:rsidR="00E05B5C" w:rsidRDefault="00117C7A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осуществление и маркетинг дополнительных услуг подвижных систем связи;</w:t>
      </w:r>
    </w:p>
    <w:p w:rsidR="00E05B5C" w:rsidRDefault="00117C7A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импорт, продажа, сдача в аренду, установка и техническое обслуживание оконечных устройств и соответствующих приспособлений;</w:t>
      </w:r>
    </w:p>
    <w:p w:rsidR="00E05B5C" w:rsidRDefault="00117C7A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эксплуатация и техническое обслужи</w:t>
      </w:r>
      <w:r>
        <w:rPr>
          <w:rFonts w:ascii="Times New Roman" w:eastAsia="Times New Roman" w:hAnsi="Times New Roman" w:cs="Times New Roman"/>
          <w:sz w:val="28"/>
          <w:szCs w:val="28"/>
        </w:rPr>
        <w:t>вание контрольного оборудования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5B5C" w:rsidRDefault="00117C7A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защита сведений, составляющих государственную тайну в соответствии с действующим законодательством Российской Федерации;</w:t>
      </w:r>
    </w:p>
    <w:p w:rsidR="00E05B5C" w:rsidRDefault="003F16E2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ведение любой иной деятельности в соответствии с решениями Совета директоров, способствующей достижению основных целей.</w:t>
      </w:r>
    </w:p>
    <w:p w:rsidR="00E05B5C" w:rsidRDefault="003F16E2" w:rsidP="00443643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Общество вправе осуществлять любые другие виды деятельности, не запрещенные действующим законодательством Российской Федерации.</w:t>
      </w:r>
    </w:p>
    <w:p w:rsidR="00E05B5C" w:rsidRDefault="003F16E2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Виды деятельности, подлежащие лицензированию, осуществляются на основании соответствующих лицензий.</w:t>
      </w:r>
    </w:p>
    <w:p w:rsidR="00E05B5C" w:rsidRDefault="003F16E2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Головной  офис компании  ООО «Сектор»  находится в г. Южно-Сахалинск ,пр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ира 1В. Место прохождения практики происходило по адресу: Южно-Сахалинск ,пр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ира 1В.  Выгодное расположение базы, говорит о том, что там проходит очень большой поток людей, в связи с этим компания имеет огромный доход из-за выгодных расположений офисов продаж. По отношению компаний-конкурентов, ООО «Сектор» занимает первые места по их расположению. </w:t>
      </w:r>
    </w:p>
    <w:p w:rsidR="00E05B5C" w:rsidRDefault="003F16E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5FB" w:rsidRDefault="00AC25FB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5FB" w:rsidRPr="00887953" w:rsidRDefault="00AC25FB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C7A" w:rsidRPr="00887953" w:rsidRDefault="00117C7A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3F16E2" w:rsidP="00B61369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ТЕХНИКО-ЭКОНОМИЧЕСКИЕ ПОКАЗАТЕЛИ ПРЕДПРИЯТИЯ</w:t>
      </w: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B5C" w:rsidRDefault="003F16E2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Технико-экономические  показатели применяются для анализа и планирования организации производства и труда, использование основных и оборотных фондов, трудовых ресурсов. </w:t>
      </w:r>
      <w:r w:rsidR="00BF4BE5">
        <w:rPr>
          <w:rFonts w:ascii="Times New Roman" w:eastAsia="Times New Roman" w:hAnsi="Times New Roman" w:cs="Times New Roman"/>
          <w:sz w:val="28"/>
          <w:szCs w:val="28"/>
        </w:rPr>
        <w:t>Они я</w:t>
      </w:r>
      <w:r>
        <w:rPr>
          <w:rFonts w:ascii="Times New Roman" w:eastAsia="Times New Roman" w:hAnsi="Times New Roman" w:cs="Times New Roman"/>
          <w:sz w:val="28"/>
          <w:szCs w:val="28"/>
        </w:rPr>
        <w:t>вляются основой при установлении прогрессивных технико-экономических норм</w:t>
      </w:r>
      <w:r w:rsidR="00BF4BE5">
        <w:rPr>
          <w:rFonts w:ascii="Times New Roman" w:eastAsia="Times New Roman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</w:rPr>
        <w:t>ни представлены в таблице 1.</w:t>
      </w: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3F16E2" w:rsidP="00117C7A">
      <w:pPr>
        <w:pStyle w:val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E05B5C" w:rsidRDefault="003F16E2" w:rsidP="00117C7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Технико-экономические показате</w:t>
      </w:r>
      <w:r w:rsidR="008F76C4">
        <w:rPr>
          <w:rFonts w:ascii="Times New Roman" w:eastAsia="Times New Roman" w:hAnsi="Times New Roman" w:cs="Times New Roman"/>
          <w:b/>
          <w:sz w:val="28"/>
          <w:szCs w:val="28"/>
        </w:rPr>
        <w:t>ли компан</w:t>
      </w:r>
      <w:proofErr w:type="gramStart"/>
      <w:r w:rsidR="008F76C4">
        <w:rPr>
          <w:rFonts w:ascii="Times New Roman" w:eastAsia="Times New Roman" w:hAnsi="Times New Roman" w:cs="Times New Roman"/>
          <w:b/>
          <w:sz w:val="28"/>
          <w:szCs w:val="28"/>
        </w:rPr>
        <w:t>ии ООО</w:t>
      </w:r>
      <w:proofErr w:type="gramEnd"/>
      <w:r w:rsidR="008F76C4">
        <w:rPr>
          <w:rFonts w:ascii="Times New Roman" w:eastAsia="Times New Roman" w:hAnsi="Times New Roman" w:cs="Times New Roman"/>
          <w:b/>
          <w:sz w:val="28"/>
          <w:szCs w:val="28"/>
        </w:rPr>
        <w:t xml:space="preserve"> «Сектор» за 2015-2017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35"/>
        <w:gridCol w:w="1843"/>
        <w:gridCol w:w="1994"/>
        <w:gridCol w:w="1408"/>
        <w:gridCol w:w="1418"/>
      </w:tblGrid>
      <w:tr w:rsidR="00BF4BE5" w:rsidTr="00772518">
        <w:trPr>
          <w:trHeight w:val="859"/>
        </w:trPr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E62748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117C7A" w:rsidRDefault="00BF4BE5" w:rsidP="008F76C4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117C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17C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117C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BF4BE5" w:rsidRDefault="00BF4BE5" w:rsidP="00AC25FB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2017/2015</w:t>
            </w:r>
          </w:p>
          <w:p w:rsidR="00AC25FB" w:rsidRPr="00AC25FB" w:rsidRDefault="00AC25FB" w:rsidP="00AC25FB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BF4BE5" w:rsidTr="00772518">
        <w:trPr>
          <w:trHeight w:val="651"/>
        </w:trPr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от реализации </w:t>
            </w:r>
            <w:r w:rsidR="00E627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продукции, работ, услуг.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D80C1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D80C1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D80C15" w:rsidP="00D80C1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1418" w:type="dxa"/>
          </w:tcPr>
          <w:p w:rsidR="00BF4BE5" w:rsidRPr="008F76C4" w:rsidRDefault="00AC25FB" w:rsidP="00AC25FB">
            <w:pPr>
              <w:pStyle w:val="10"/>
              <w:tabs>
                <w:tab w:val="left" w:pos="420"/>
                <w:tab w:val="center" w:pos="6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80C1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F4BE5" w:rsidTr="00772518">
        <w:trPr>
          <w:trHeight w:val="1453"/>
        </w:trPr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Себестоимость реализованной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продукции, работ, услуг с учетом коммерче</w:t>
            </w:r>
            <w:r w:rsidR="00E6274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управленческих расходов.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D80C1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D80C1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BF4BE5"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D80C1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418" w:type="dxa"/>
          </w:tcPr>
          <w:p w:rsidR="00BF4BE5" w:rsidRPr="008F76C4" w:rsidRDefault="00D80C1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F4BE5" w:rsidTr="0088795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E62748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 прибыль.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18" w:type="dxa"/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F4BE5" w:rsidTr="00772518">
        <w:trPr>
          <w:trHeight w:val="379"/>
        </w:trPr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E62748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 прибыль.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8" w:type="dxa"/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BF4BE5" w:rsidTr="0088795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 одного работника, часов</w:t>
            </w:r>
            <w:r w:rsidR="00E627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572,2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560,2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1418" w:type="dxa"/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-78,4</w:t>
            </w:r>
          </w:p>
        </w:tc>
      </w:tr>
      <w:tr w:rsidR="00BF4BE5" w:rsidTr="00887953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доход одного работника, рублей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17421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18442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</w:rPr>
              <w:t>20963</w:t>
            </w:r>
          </w:p>
        </w:tc>
        <w:tc>
          <w:tcPr>
            <w:tcW w:w="1418" w:type="dxa"/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3542</w:t>
            </w:r>
          </w:p>
        </w:tc>
      </w:tr>
    </w:tbl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3F16E2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 таблицы позвол</w:t>
      </w:r>
      <w:r w:rsidR="00BF4BE5">
        <w:rPr>
          <w:rFonts w:ascii="Times New Roman" w:eastAsia="Times New Roman" w:hAnsi="Times New Roman" w:cs="Times New Roman"/>
          <w:sz w:val="28"/>
          <w:szCs w:val="28"/>
        </w:rPr>
        <w:t>яют сделать следующие  выводы: н</w:t>
      </w:r>
      <w:r>
        <w:rPr>
          <w:rFonts w:ascii="Times New Roman" w:eastAsia="Times New Roman" w:hAnsi="Times New Roman" w:cs="Times New Roman"/>
          <w:sz w:val="28"/>
          <w:szCs w:val="28"/>
        </w:rPr>
        <w:t>аблюдаются положительные тенденции в развитии предприятия.</w:t>
      </w:r>
    </w:p>
    <w:p w:rsidR="00AC25FB" w:rsidRDefault="003F16E2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Так,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выручка от реализации</w:t>
      </w:r>
      <w:r w:rsidR="00AC25FB">
        <w:rPr>
          <w:rFonts w:ascii="Times New Roman" w:eastAsia="Times New Roman" w:hAnsi="Times New Roman" w:cs="Times New Roman"/>
          <w:sz w:val="28"/>
          <w:szCs w:val="28"/>
        </w:rPr>
        <w:t xml:space="preserve"> сократилась. В 2015 году она составляла 295,9, а в 2017 стала 294,4,что позволяет сделать вывод о том, что отклонение составило -1,5.</w:t>
      </w:r>
    </w:p>
    <w:p w:rsidR="00E05B5C" w:rsidRDefault="00AC25FB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огда как себестоимость продукции, с учетом коммерческих и управленческих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выросла 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всего на </w:t>
      </w:r>
      <w:r>
        <w:rPr>
          <w:rFonts w:ascii="Times New Roman" w:eastAsia="Times New Roman" w:hAnsi="Times New Roman" w:cs="Times New Roman"/>
          <w:sz w:val="28"/>
          <w:szCs w:val="28"/>
        </w:rPr>
        <w:t>5,8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. Прибыль до налогообложения (балансовая прибыль) разительно выросла и составила 177 226 тыс. руб. Также наблюдается рост производительности труда, что обусловлено выручки от реализации. </w:t>
      </w:r>
    </w:p>
    <w:p w:rsidR="00E05B5C" w:rsidRDefault="003F16E2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характеристики технического состояния  основных средств рассчитаем коэффициенты обновления, выбытия, износа и фондоотдачи. </w:t>
      </w:r>
    </w:p>
    <w:p w:rsidR="00E05B5C" w:rsidRDefault="003F16E2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отчетном году коэффициент обновления, как всех основных средств, так и  активной их части снизился по сравнению  с предшествующими отчетными  периодами вследствие сокращения ввода основных средств, в том числе и их активной части.</w:t>
      </w:r>
    </w:p>
    <w:p w:rsidR="00E05B5C" w:rsidRPr="008F76C4" w:rsidRDefault="003F16E2" w:rsidP="00117C7A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Следующим этапом анализа является анализ финансовой устойчивости предприятия, результаты ко</w:t>
      </w:r>
      <w:r w:rsidR="008F76C4">
        <w:rPr>
          <w:rFonts w:ascii="Times New Roman" w:eastAsia="Times New Roman" w:hAnsi="Times New Roman" w:cs="Times New Roman"/>
          <w:sz w:val="28"/>
          <w:szCs w:val="28"/>
        </w:rPr>
        <w:t>торого представлены в таблице 2</w:t>
      </w: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3F16E2" w:rsidP="008F76C4">
      <w:pPr>
        <w:pStyle w:val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E05B5C" w:rsidRDefault="003F16E2" w:rsidP="00117C7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финансовой устойчивост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«Сектор» за 2015-2017 гг.</w:t>
      </w:r>
    </w:p>
    <w:p w:rsidR="00E05B5C" w:rsidRPr="008F76C4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456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94"/>
        <w:gridCol w:w="1701"/>
        <w:gridCol w:w="1417"/>
        <w:gridCol w:w="1701"/>
        <w:gridCol w:w="1843"/>
      </w:tblGrid>
      <w:tr w:rsidR="00BF4BE5" w:rsidTr="00887953">
        <w:trPr>
          <w:trHeight w:val="580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AC25F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2015</w:t>
            </w: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2016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2017</w:t>
            </w: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18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Отклонения</w:t>
            </w:r>
          </w:p>
          <w:p w:rsidR="00AC25FB" w:rsidRDefault="00226B18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2017/2015</w:t>
            </w:r>
          </w:p>
          <w:p w:rsidR="00BF4BE5" w:rsidRDefault="00AC25FB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(+/-)</w:t>
            </w:r>
            <w:r w:rsidR="00BF4B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F4BE5" w:rsidTr="00887953">
        <w:trPr>
          <w:trHeight w:val="395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Коэффициент автономии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B61369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B61369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="00CD21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0,03</w:t>
            </w:r>
          </w:p>
        </w:tc>
      </w:tr>
      <w:tr w:rsidR="00BF4BE5" w:rsidTr="00AC25FB">
        <w:trPr>
          <w:trHeight w:val="506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Коэффициент заемного капитала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B61369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B61369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0,5</w:t>
            </w:r>
            <w:r w:rsidR="007725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-0,03</w:t>
            </w:r>
          </w:p>
        </w:tc>
      </w:tr>
      <w:tr w:rsidR="00BF4BE5" w:rsidTr="00AC25FB">
        <w:trPr>
          <w:trHeight w:val="1155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Коэффициент соотношения собственных и заемных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1,1</w:t>
            </w: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1,0</w:t>
            </w: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BE5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-0,13</w:t>
            </w:r>
          </w:p>
        </w:tc>
      </w:tr>
      <w:tr w:rsidR="00BF4BE5" w:rsidTr="00AC25FB">
        <w:trPr>
          <w:trHeight w:val="777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Коэффициент маневренности собственного капитала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B61369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-0,25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B61369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BE5" w:rsidRDefault="00BF4BE5" w:rsidP="00AC25F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-0,34</w:t>
            </w:r>
          </w:p>
        </w:tc>
      </w:tr>
      <w:tr w:rsidR="00BF4BE5" w:rsidTr="00887953">
        <w:trPr>
          <w:trHeight w:val="1260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Коэффициент обеспеченности оборотных </w:t>
            </w:r>
            <w:r w:rsidR="00CD21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активов собственными средствами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B61369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8F76C4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4BE5" w:rsidRPr="00B61369" w:rsidRDefault="00BF4BE5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F76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BE5" w:rsidRPr="008F76C4" w:rsidRDefault="00CD2100" w:rsidP="008F76C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-0,0</w:t>
            </w:r>
            <w:r w:rsidR="00BF4B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</w:tbl>
    <w:p w:rsidR="00BF4BE5" w:rsidRDefault="00BF4BE5" w:rsidP="00E62748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BF4BE5" w:rsidP="00E62748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данным таблицы можно сделать следующие выводы: з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начение  коэффициента автономии на протяжении трех лет оставалось примерно на одном уровне и находилось в оптимальных пределах для промышленных предприятий. На конец 2017 года его значение составило 0,5</w:t>
      </w:r>
      <w:r w:rsidR="00CD210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– это означает, что практически половина стоимости имуществ</w:t>
      </w:r>
      <w:proofErr w:type="gramStart"/>
      <w:r w:rsidR="003F16E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«Сектор» покрывается за счет собственного капитала.</w:t>
      </w:r>
    </w:p>
    <w:p w:rsidR="00E05B5C" w:rsidRDefault="003F16E2" w:rsidP="00E62748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</w:t>
      </w:r>
      <w:r w:rsidR="00CD2100">
        <w:rPr>
          <w:rFonts w:ascii="Times New Roman" w:eastAsia="Times New Roman" w:hAnsi="Times New Roman" w:cs="Times New Roman"/>
          <w:sz w:val="28"/>
          <w:szCs w:val="28"/>
        </w:rPr>
        <w:t xml:space="preserve">м, в целом, общество сохраняет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независимость относительно внешних инвесторов. Коэффициент соотношения собственных и заемных средств подтверждает </w:t>
      </w:r>
      <w:r w:rsidR="00CD2100">
        <w:rPr>
          <w:rFonts w:ascii="Times New Roman" w:eastAsia="Times New Roman" w:hAnsi="Times New Roman" w:cs="Times New Roman"/>
          <w:sz w:val="28"/>
          <w:szCs w:val="28"/>
        </w:rPr>
        <w:t>выводы,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сделанные ранее, заемные средства несколько превышают собственные в сумме источников формирования имущества предприятия. </w:t>
      </w:r>
    </w:p>
    <w:p w:rsidR="00E05B5C" w:rsidRDefault="003F16E2" w:rsidP="00E62748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Уменьшение стоимости оборотных активов ООО «Сектор» в 2016 году положительно сказалось на коэффициентах, характеризующих их состояние. </w:t>
      </w:r>
    </w:p>
    <w:p w:rsidR="00BF4BE5" w:rsidRPr="00BF4BE5" w:rsidRDefault="00BF4BE5" w:rsidP="00E62748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E5">
        <w:rPr>
          <w:rFonts w:ascii="Times New Roman" w:eastAsia="Times New Roman" w:hAnsi="Times New Roman" w:cs="Times New Roman"/>
          <w:sz w:val="28"/>
          <w:szCs w:val="28"/>
        </w:rPr>
        <w:t>Оценка деловой активно</w:t>
      </w:r>
      <w:r>
        <w:rPr>
          <w:rFonts w:ascii="Times New Roman" w:eastAsia="Times New Roman" w:hAnsi="Times New Roman" w:cs="Times New Roman"/>
          <w:sz w:val="28"/>
          <w:szCs w:val="28"/>
        </w:rPr>
        <w:t>сти предприятия представлена в таблице 3.</w:t>
      </w:r>
    </w:p>
    <w:p w:rsidR="00BF4BE5" w:rsidRDefault="00BF4BE5" w:rsidP="008F76C4">
      <w:pPr>
        <w:pStyle w:val="1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3F16E2" w:rsidP="001B1F32">
      <w:pPr>
        <w:pStyle w:val="10"/>
        <w:ind w:firstLine="5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E05B5C" w:rsidRDefault="003F16E2" w:rsidP="001B1F32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деловой активности ООО «Сектор» за 2015-2017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97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85"/>
        <w:gridCol w:w="2126"/>
        <w:gridCol w:w="1985"/>
        <w:gridCol w:w="1559"/>
        <w:gridCol w:w="1842"/>
      </w:tblGrid>
      <w:tr w:rsidR="00E62748" w:rsidTr="00CD2100">
        <w:trPr>
          <w:trHeight w:val="531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F4BE5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2015</w:t>
            </w: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2016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2017</w:t>
            </w: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748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Отклонение</w:t>
            </w:r>
            <w:r w:rsidR="00CD210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2017/2015</w:t>
            </w:r>
          </w:p>
          <w:p w:rsidR="00CD2100" w:rsidRDefault="00CD2100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(+/-)</w:t>
            </w:r>
          </w:p>
        </w:tc>
      </w:tr>
      <w:tr w:rsidR="00E62748" w:rsidTr="00CD2100">
        <w:trPr>
          <w:trHeight w:val="853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CD2100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Продолжительность </w:t>
            </w:r>
            <w:r w:rsidR="00E62748"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оборота текущих активов, дней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361,9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248,6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250,1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-111,8</w:t>
            </w:r>
          </w:p>
        </w:tc>
      </w:tr>
      <w:tr w:rsidR="00E62748" w:rsidTr="00772518">
        <w:trPr>
          <w:trHeight w:val="927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Коэффициент оборачиваемости оборотных активов, оборотов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0,6</w:t>
            </w:r>
          </w:p>
        </w:tc>
      </w:tr>
      <w:tr w:rsidR="00E62748" w:rsidTr="00772518">
        <w:trPr>
          <w:trHeight w:val="80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Коэффициент загрузки средств в обороте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748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-0,35</w:t>
            </w:r>
          </w:p>
        </w:tc>
      </w:tr>
    </w:tbl>
    <w:p w:rsidR="00772518" w:rsidRDefault="00772518"/>
    <w:p w:rsidR="00772518" w:rsidRDefault="00772518"/>
    <w:p w:rsidR="00772518" w:rsidRDefault="00772518"/>
    <w:p w:rsidR="00772518" w:rsidRDefault="00772518"/>
    <w:p w:rsidR="00772518" w:rsidRDefault="00772518"/>
    <w:p w:rsidR="00772518" w:rsidRDefault="00772518">
      <w:pPr>
        <w:rPr>
          <w:rFonts w:ascii="Times New Roman" w:hAnsi="Times New Roman" w:cs="Times New Roman"/>
          <w:sz w:val="28"/>
          <w:szCs w:val="28"/>
        </w:rPr>
      </w:pPr>
      <w:r w:rsidRPr="00772518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b"/>
        <w:tblW w:w="0" w:type="auto"/>
        <w:tblLook w:val="04A0"/>
      </w:tblPr>
      <w:tblGrid>
        <w:gridCol w:w="2093"/>
        <w:gridCol w:w="2126"/>
        <w:gridCol w:w="1985"/>
        <w:gridCol w:w="1559"/>
        <w:gridCol w:w="1811"/>
      </w:tblGrid>
      <w:tr w:rsidR="00772518" w:rsidTr="00772518">
        <w:trPr>
          <w:trHeight w:val="901"/>
        </w:trPr>
        <w:tc>
          <w:tcPr>
            <w:tcW w:w="2093" w:type="dxa"/>
          </w:tcPr>
          <w:p w:rsidR="00772518" w:rsidRPr="00772518" w:rsidRDefault="00772518" w:rsidP="0077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</w:tcPr>
          <w:p w:rsidR="00772518" w:rsidRPr="00772518" w:rsidRDefault="00772518" w:rsidP="0077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985" w:type="dxa"/>
          </w:tcPr>
          <w:p w:rsidR="00772518" w:rsidRPr="00772518" w:rsidRDefault="00772518" w:rsidP="0077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59" w:type="dxa"/>
          </w:tcPr>
          <w:p w:rsidR="00772518" w:rsidRPr="00772518" w:rsidRDefault="00772518" w:rsidP="0077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8">
              <w:rPr>
                <w:rFonts w:ascii="Times New Roman" w:hAnsi="Times New Roman" w:cs="Times New Roman"/>
                <w:sz w:val="24"/>
                <w:szCs w:val="24"/>
              </w:rPr>
              <w:t>2017.г.</w:t>
            </w:r>
          </w:p>
        </w:tc>
        <w:tc>
          <w:tcPr>
            <w:tcW w:w="1811" w:type="dxa"/>
          </w:tcPr>
          <w:p w:rsidR="00772518" w:rsidRPr="00772518" w:rsidRDefault="00772518" w:rsidP="0077251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25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Отклонение 2017/2015</w:t>
            </w:r>
          </w:p>
          <w:p w:rsidR="00772518" w:rsidRPr="00772518" w:rsidRDefault="00772518" w:rsidP="0077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1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(+/-)</w:t>
            </w:r>
          </w:p>
        </w:tc>
      </w:tr>
    </w:tbl>
    <w:tbl>
      <w:tblPr>
        <w:tblStyle w:val="a7"/>
        <w:tblW w:w="9597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85"/>
        <w:gridCol w:w="2126"/>
        <w:gridCol w:w="1985"/>
        <w:gridCol w:w="1559"/>
        <w:gridCol w:w="1842"/>
      </w:tblGrid>
      <w:tr w:rsidR="00E62748" w:rsidTr="00772518">
        <w:trPr>
          <w:trHeight w:val="1258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Продолжительность оборота материально-производственных запасов, дней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0,36</w:t>
            </w:r>
          </w:p>
        </w:tc>
      </w:tr>
      <w:tr w:rsidR="00E62748" w:rsidTr="00772518">
        <w:trPr>
          <w:trHeight w:val="12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Коэффициент оборачиваемости материально-производственных запасов, оборотов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11,02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10,6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-0,42</w:t>
            </w:r>
          </w:p>
        </w:tc>
      </w:tr>
      <w:tr w:rsidR="00E62748" w:rsidTr="00772518">
        <w:trPr>
          <w:trHeight w:val="9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CD2100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Продолжительность оборота материально-производсвенных запасов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61,15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53,42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748" w:rsidRPr="00B61369" w:rsidRDefault="001B1F32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-7,73</w:t>
            </w:r>
          </w:p>
        </w:tc>
      </w:tr>
      <w:tr w:rsidR="00E62748" w:rsidTr="00772518">
        <w:trPr>
          <w:trHeight w:val="12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772518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Коэффициент оборачиваемости дебиторской задолженности, оборотов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5,97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2748" w:rsidRPr="00B61369" w:rsidRDefault="00E62748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13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7,03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748" w:rsidRPr="00B61369" w:rsidRDefault="001B1F32" w:rsidP="00B6136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1,06</w:t>
            </w:r>
          </w:p>
        </w:tc>
      </w:tr>
    </w:tbl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BF4BE5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по данным из таблицы можно отметить с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окращение  в отчетном году запасов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товарно-материальных ценностей, что 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обусловлено снабженческой политикой, проводимой на предприятии, основой которой является совершенствование системы товарно-материального снабжения, связанное с работами по анализу предложений поставщиков методом запроса котировок, мониторингом цен. Закупка дорогостоящих товарно-материальных ценностей в ООО «Сектор» производится на основании результатов тендеров. Увеличение стоимости материально-производственных запасов в 2017 году главным образом обусловлено увеличением объемов товаров.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Упорядоченная совокупность служб, управляющих его  деятельностью, взаимосвязями и соподчинением – это и есть организационная структура предприятия.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Директор не может руководить предприятием в одиночку, поэтому у него есть подчиненный ему функциональный аппарат или заместители, которые помогают директору сделать так, чтобы предприятие развивалось успешно и результативно.  </w:t>
      </w:r>
    </w:p>
    <w:p w:rsidR="00E05B5C" w:rsidRDefault="00BF4BE5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рисунке 1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отражена</w:t>
      </w:r>
      <w:r w:rsidR="00730EDB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структура предприятия.</w:t>
      </w:r>
    </w:p>
    <w:p w:rsidR="00B61369" w:rsidRPr="00B61369" w:rsidRDefault="00B61369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BF4BE5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3415" cy="4373880"/>
            <wp:effectExtent l="19050" t="0" r="635" b="0"/>
            <wp:docPr id="1" name="Рисунок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E5" w:rsidRDefault="00BF4BE5" w:rsidP="00BF4BE5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BE5" w:rsidRPr="00BF4BE5" w:rsidRDefault="00BF4BE5" w:rsidP="00BF4BE5">
      <w:pPr>
        <w:pStyle w:val="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Рис.1</w:t>
      </w:r>
      <w:r w:rsidR="001B1F3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30EDB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Организационная структура</w:t>
      </w:r>
    </w:p>
    <w:p w:rsidR="00BF4BE5" w:rsidRDefault="00BF4BE5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по продажам. В функциональные обязанности директора по продажам входит: участие в составлении договоров на поставки товаров, организация работ по выполнению планов товарооборота, контроль над соблюдением правил торговли в своей организации,  рассмотрение различных  жалоб (покупателей, продавцов консультантов, поставщиков и партнеров), проверка правильности  ведения и оформления документов, связанные  с поставками и реализацией товаров.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изучения потребительского спроса, директор должен разрабатывать необходимый и обязательный ассортиментный перечень товаров, методические материалы, касающиеся экономики предприятия. Директору необходимо знать и изучать  стратегию и перспективы развития предприятия, а также перспективы развития отрасли, состояние и перспективы развития рынка сбыта продукции, правила и нормы охраны труда, основы трудового законодательства.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 по продажам. Он относится к категории специалистов. Заместитель директора по продажам выполняет работу по осуществлению экономической деятельности предприятия, направленной на повышение эффективности работы сотрудников и рентабельности офисов продаж в целом, качества и освоение новых видов продукции, достижение высоких конечных результатов при оптимальном использовании материальных, трудовых и финансовых ресурсов.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подготавливает исходные данные для составления проектов хозяйственно-финансовой, производственной и коммерческой деятельности (бизнес-планов) предприятия в целях обеспечения роста объемов сбыта продукции и увеличения прибыли. Он выполняет расчеты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осуществляет экономический анализ хозяйственной деятельности предприятия и его подразделений, разрабатывает меры по обеспечению режима экономии, повышению рентабельности, конкурентоспособности продаваемой продукции, производительности труда, снижению издержек на реализацию продукции. Он определяет экономическую эффективность организации труда и производства, внедрения новой техники и технологии, рационализаторских предложений, участвует в рассмотрении разработанных производственно-хозяйственных планов, проведении работ по ресурсосбережению, во внедрении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совершенствовании внутрихозяйственного расчета, совершенствовании прогрессивных форм организации труда и управления, а также плановой и учетной документации.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  директора филиала по продажам. В его обязанности входят задачи по  осуществлению руководства финансово-хозяйственной деятельностью предприятия в области материально-технического обеспечения, сбыта продукции на рынке и по договорам поставки, транспортного и административно-хозяйственного обслуживания, ускорение оборачиваемости оборотных средств. Своевременное заключение  хозяйственных и финансовых договоров с поставщиками и потребителями, обеспечение выполнения договорных обязательств по поставкам продукции по количеству, ассортименту, качеству, номенклатуре, срокам.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менеджер. В круг его обязанностей входит  различное результативное  развитие и укрепление партнерских отношений с потребителями продукции, совершенствование клиентской базы, поиск новых перспективных клиентов и партнеров, а также осуществление данных ему  представительских функции.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Также грамотный и образованный управляющий менеджер региона должен уметь и принимать решения об  осуществлении  контроля  за выполнением поставленных дивизионам  задач, за эффективностью продаж и соблюдением ценовой политики, за верным и соответствующем оформлением и хранением документации, за оперативным и внимательным обслуживанием клиентов.</w:t>
      </w:r>
      <w:proofErr w:type="gramEnd"/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Офис продаж. Сотрудник офиса продаж по праву можно назвать вторым лицом организации. К этому человеку предъявляются следующие требования: умение предоставить  полную консультацию по интересующему клиента вопросу, всегда должны быть  готовы помочь покупателю определиться с выбором. В обязанности сотрудника офиса продаж входит своевременное и правильное выполнение всех кассовых операций по приему, выдаче, учету и хранению наличных денег и ценных бумаг. Он имеет право требовать от ответственных лиц правильного оформления документов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приему и расходу денежных средств, не принимать к исполнению документы, неправильно оформленные и противоречащие действующему положению о ведении кассовых операций. Имеет право подписывать кассовые документы.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тренинга и развития (ОТИР). ОТИР занимается набором кадров в компанию и их обучением.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Тренинг-менеджер проводит собеседование. Обучение и  тестирование проводит как при наборе нового персонала, так и с уже существующим персоналом. В работу тренинг-менеджера входит объезд офисов продаж, для контроля персонала и оказания информационной помощи. Так же главная задача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отправлять по электронной почте всю новую информацию по новым тарифам, услугам, мобильным телефонам, акциям - проходящие в компании, Отправляет инструкции и регламенты компании. Контролирует выполнение планов каждого офиса продаж.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Бухгалтерия. В ряд задач входит: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ведение бухгалтерского учета исполнения сметы доходов и расходов.</w:t>
      </w:r>
    </w:p>
    <w:p w:rsidR="009241B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Систематический анализ исполнения сметы доходов и расходов.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 Составление годовой и периодической отчетности об исполнении сметы доходов и расходов предприятия.</w:t>
      </w:r>
    </w:p>
    <w:p w:rsidR="00BF4BE5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Ревизор. Главная задача ревизора состоит в том, чтобы проводить инвентаризацию ТМЦ и всего товара, который хранится в офисах продаж, который предназначен  как для реализации, так и для пользования в рабочих процессах.  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ОСБ (служа безопасности). Служба безопасности  проверяет  сотрудников при приеме на работу. Обеспечивает безопасность сотрудников. Проводит проверки при кражах товара. </w:t>
      </w:r>
    </w:p>
    <w:p w:rsidR="00E05B5C" w:rsidRDefault="00730EDB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закупок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>. Функциями отдела закупа являются: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пределяет источники закупок.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аключает контракты.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спользует технологии оценки при закупке.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Разработка процедуры и политики осуществления закупок.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тслеживает потребительские и рыночные тенденции.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правляет материальными запасами.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Сервисный центр. Сервисный центр занимается приемом мобильных телефонов, их ремонтом, и выдачей обратно в офис продаж.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Отдел кадрового администрирования и  компенсации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Отдел кадров подготавливает списки кандидатов на собеседование для отдела тренинга. Обрабатывает базу с кадрами, подготавливают  приказы о приеме на работу или об увольнении, приказы об отпусках. Т.е. занимается решением всех кадровых вопросов. </w:t>
      </w:r>
    </w:p>
    <w:p w:rsidR="00BF4BE5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Отдел Информационных Технологий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). Их задача – обеспечивать бесперебойную работу ПК, интернета, устранять проблемы связанные с их возникновением. Также установка и настройка программ, с которыми работают сотрудники компании.  </w:t>
      </w:r>
    </w:p>
    <w:p w:rsidR="001B1F32" w:rsidRDefault="001B1F32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32" w:rsidRDefault="001B1F32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32" w:rsidRDefault="001B1F32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32" w:rsidRDefault="001B1F32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FB5" w:rsidRDefault="00927FB5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FB5" w:rsidRDefault="00927FB5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FB5" w:rsidRDefault="00927FB5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FB5" w:rsidRDefault="00927FB5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FB5" w:rsidRDefault="00927FB5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FB5" w:rsidRDefault="00927FB5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FB5" w:rsidRDefault="00927FB5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EDB" w:rsidRDefault="00730EDB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EDB" w:rsidRDefault="00730EDB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EDB" w:rsidRDefault="00730EDB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32" w:rsidRDefault="001B1F32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1BC" w:rsidRDefault="00BF4BE5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АНАЛИЗ ЛОГИСТИЧЕСКОЙ ДЕЯТЕЛЬНОСТИ ПРЕДПРИЯТИЯ</w:t>
      </w:r>
    </w:p>
    <w:p w:rsidR="00BF4BE5" w:rsidRPr="009241BC" w:rsidRDefault="00BF4BE5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логистика выступает одним из главнейших факторов нового управления организациями.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месте стоят действия, направленные на улучшение логистики, как инструмента управления цепью поставок товара от производителя к потребителю.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Логистическая цепь - линейно упорядоченное множество физических и (или) юридических лиц, осуществляющих логистические операции по проведению внешнего материального потока от одной логистической системы до другой в случае производственного потребления или до конечного потребителя в случае личного непроизводственного потребления.</w:t>
      </w:r>
    </w:p>
    <w:p w:rsidR="00E05B5C" w:rsidRDefault="009241BC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компан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«Сектор»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 можно просмотреть </w:t>
      </w:r>
      <w:proofErr w:type="spellStart"/>
      <w:r w:rsidR="003F16E2">
        <w:rPr>
          <w:rFonts w:ascii="Times New Roman" w:eastAsia="Times New Roman" w:hAnsi="Times New Roman" w:cs="Times New Roman"/>
          <w:sz w:val="28"/>
          <w:szCs w:val="28"/>
        </w:rPr>
        <w:t>логистическую</w:t>
      </w:r>
      <w:proofErr w:type="spellEnd"/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цепь.</w:t>
      </w:r>
      <w:r w:rsidR="0073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Основными звеньями </w:t>
      </w:r>
      <w:proofErr w:type="spellStart"/>
      <w:r w:rsidR="003F16E2">
        <w:rPr>
          <w:rFonts w:ascii="Times New Roman" w:eastAsia="Times New Roman" w:hAnsi="Times New Roman" w:cs="Times New Roman"/>
          <w:sz w:val="28"/>
          <w:szCs w:val="28"/>
        </w:rPr>
        <w:t>логистической</w:t>
      </w:r>
      <w:proofErr w:type="spellEnd"/>
      <w:r w:rsidR="003F16E2">
        <w:rPr>
          <w:rFonts w:ascii="Times New Roman" w:eastAsia="Times New Roman" w:hAnsi="Times New Roman" w:cs="Times New Roman"/>
          <w:sz w:val="28"/>
          <w:szCs w:val="28"/>
        </w:rPr>
        <w:t xml:space="preserve"> цепи являются: поставщики материалов, склады, транспорт, распределительные центры, производители товаров, потребители продукции.</w:t>
      </w:r>
    </w:p>
    <w:p w:rsidR="00BF4BE5" w:rsidRDefault="00BF4BE5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рисунке 2 приведен пример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логистичексой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цепи.</w:t>
      </w:r>
    </w:p>
    <w:p w:rsidR="00BF4BE5" w:rsidRDefault="00BF4BE5" w:rsidP="008F76C4">
      <w:pPr>
        <w:pStyle w:val="1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E5" w:rsidRDefault="00BF4BE5" w:rsidP="008F76C4">
      <w:pPr>
        <w:pStyle w:val="1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2743200"/>
            <wp:effectExtent l="19050" t="0" r="0" b="0"/>
            <wp:docPr id="2" name="Рисунок 1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E5" w:rsidRPr="00BF4BE5" w:rsidRDefault="00BF4BE5" w:rsidP="00BF4BE5">
      <w:pPr>
        <w:pStyle w:val="1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4BE5">
        <w:rPr>
          <w:rFonts w:ascii="Times New Roman" w:eastAsia="Times New Roman" w:hAnsi="Times New Roman" w:cs="Times New Roman"/>
          <w:b/>
          <w:i/>
          <w:sz w:val="28"/>
          <w:szCs w:val="28"/>
        </w:rPr>
        <w:t>Рис.2</w:t>
      </w:r>
      <w:r w:rsidR="001B1F3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BF4B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Логистическая цепь</w:t>
      </w:r>
    </w:p>
    <w:p w:rsidR="00BF4BE5" w:rsidRDefault="00BF4BE5" w:rsidP="008F76C4">
      <w:pPr>
        <w:pStyle w:val="1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звеньями логистической цепи являются: поставщики материалов, склады, транспорт, распределительные центры, производители товаров, потребители продукции.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деятельности предприятия выделены такие сферы логистической деятельности как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снабжение,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распределение.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Логистические цепи выстраиваются так: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 пункте выгрузке товаров продукцию перемещают на склад,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 она и хранится до отправления до точек продажи.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2.Со складов товар привозят на точки продажи,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где осуществляется выкладка товара  </w:t>
      </w:r>
    </w:p>
    <w:p w:rsidR="009241B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продвижении товаров участвуют такие лица как юридические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proofErr w:type="gramStart"/>
      <w:r w:rsidR="009241B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посредники, пункты приема, склады, экспедиторы.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л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>огистики, которые решает ООО «Сектор»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елятся на глобальные,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общие и частные.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глобальным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 введение новых логистических центров,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сокращения затрат и увеличении доли прямых закупок.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общим задачам можно отнести то,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при наличии  собственного транспорта есть возможность обеспечивать близлежащие регионы.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самым  усилится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движением материальных потоков и будет контролироваться распределение транспортных средства.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частным можно отнести 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в компании будет внедрена линия по отбору,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сортировке продукции.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цель логистики сетью достигнута не в полной мере,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с каждым днем все больше совершенствуется.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Объектам исследования логистики являются потоки, которые бывают материальными,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информационными и финансовыми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Материальные потоки по отношению к логистической системе бывают внешними и внутренними.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потоки в «Сектор» классифицируются по направлению в логистической системе: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Внешние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конкурентах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Внутренние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бухгалтерская отчетность, учет остатка на складах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Входные - скидки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Выходные - информация о новых товарах, реклама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времени возникновения: регулярные (ежедневно отсылается остаток товаров на прилавках магазинов) и периодические (скидки на определенную группу товаров и т.д.).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Финансовые потоки: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 отношению к логистической системе: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Внешние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оплата за товар закупаемый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Внутренние - внутри склада,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кассовые операции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Входные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заработная плата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Выходные - оплата за поставку товара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 источникам финансирования: собственные (внутри сети) и заемные (кредиты на открытие гипермаркетов)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 форме расчета классифицируются на наличные и безналичные.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Логистика в сети «Сектор» выполняет операции связанные с выполнением следующих функций товародвижения: заказа, приобретения, доставки, информационного сопровождения, хранения, сортировка и отпуск товаров.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поисках своего покупателя «Сектор » расширяет ассортимент прилагаемых товаров и имеет достаточное количество, чтобы осуществить немедленную поставку. Отрицательным моментом такой политики являются дополнительные расходы связанные с затратами на хранение больших запасов. Выходом из сложившейся ситуации является формирование ассортимента товара состоящего из наиболее ходового товара или ориентация на крупных покупателей, формируя для них необходимый ассортимент товаров.</w:t>
      </w:r>
    </w:p>
    <w:p w:rsidR="00E05B5C" w:rsidRDefault="00E05B5C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E5" w:rsidRDefault="00BF4BE5" w:rsidP="00BF4BE5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9241BC" w:rsidRDefault="003F16E2" w:rsidP="00730EDB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730ED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BF4BE5">
        <w:rPr>
          <w:rFonts w:ascii="Times New Roman" w:eastAsia="Times New Roman" w:hAnsi="Times New Roman" w:cs="Times New Roman"/>
          <w:b/>
          <w:sz w:val="28"/>
          <w:szCs w:val="28"/>
        </w:rPr>
        <w:t>СИСТЕМЫ УПРАВЛЕНИЯ ЗАПАСАМИ ПРЕДПРИЯТИЯ ООО «СЕКТОР</w:t>
      </w:r>
      <w:r w:rsidR="009241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241BC" w:rsidRPr="001B1F32" w:rsidRDefault="009241BC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B5C" w:rsidRPr="001B1F32" w:rsidRDefault="007C5845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управления </w:t>
      </w:r>
      <w:r w:rsidR="003F16E2" w:rsidRPr="001B1F32">
        <w:rPr>
          <w:rFonts w:ascii="Times New Roman" w:eastAsia="Times New Roman" w:hAnsi="Times New Roman" w:cs="Times New Roman"/>
          <w:sz w:val="28"/>
          <w:szCs w:val="28"/>
        </w:rPr>
        <w:t xml:space="preserve"> зап</w:t>
      </w:r>
      <w:r>
        <w:rPr>
          <w:rFonts w:ascii="Times New Roman" w:eastAsia="Times New Roman" w:hAnsi="Times New Roman" w:cs="Times New Roman"/>
          <w:sz w:val="28"/>
          <w:szCs w:val="28"/>
        </w:rPr>
        <w:t>асами</w:t>
      </w:r>
      <w:r w:rsidR="003F16E2" w:rsidRPr="001B1F32">
        <w:rPr>
          <w:rFonts w:ascii="Times New Roman" w:eastAsia="Times New Roman" w:hAnsi="Times New Roman" w:cs="Times New Roman"/>
          <w:sz w:val="28"/>
          <w:szCs w:val="28"/>
        </w:rPr>
        <w:t xml:space="preserve"> и остатков товаров для перепродажи является рекомендацией по совершенствованию управления материально-техническими ресурсами предприятия. Закупки на долгий срок вперед обоснованы для материалов, с приобретением или поставкой которых могут наблюдаться проблемы. Принципиально важно определить и придерживаться минимально приемлемого периода закупки товаров (определяется исходя из особенностей торгового процесса, условий доставки и цен на товары).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32">
        <w:rPr>
          <w:rFonts w:ascii="Times New Roman" w:eastAsia="Times New Roman" w:hAnsi="Times New Roman" w:cs="Times New Roman"/>
          <w:sz w:val="28"/>
          <w:szCs w:val="28"/>
        </w:rPr>
        <w:t xml:space="preserve">Затоваривание склада товарами и запасами может быть показателем того, что планы предприятия формируются без ориентира на объемы продаж: закупили продукции больше, чем смогли продать, связав денежные средства в оборотных активах. Благодаря оптимизации размера товаров для перепродажи, произойдет сокращение затрат на хранение товаров, так как предприятие несет издержки по хранению производственных запасов, связанные со складскими расходами, с порчей, а также омертвлением денежных средств, которые вложены в запасы. </w:t>
      </w:r>
      <w:r w:rsidRPr="001B1F32">
        <w:rPr>
          <w:rFonts w:ascii="Times New Roman" w:eastAsia="Times New Roman" w:hAnsi="Times New Roman" w:cs="Times New Roman"/>
          <w:sz w:val="28"/>
          <w:szCs w:val="28"/>
        </w:rPr>
        <w:br/>
        <w:t>Таким образом, увеличивая размер партии и сокращая количество завозов, кроме предотвращения затоваривания склада, происходит экономия затрат на транспортировку товара и снижение себестоимости. Правильный выбор модели управления запасами позволит держать в запасах минимум финансовых средств без ущерба для удовлетворения спроса.</w:t>
      </w:r>
    </w:p>
    <w:p w:rsidR="009241BC" w:rsidRPr="009241BC" w:rsidRDefault="009241BC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32">
        <w:rPr>
          <w:rFonts w:ascii="Times New Roman" w:eastAsia="Times New Roman" w:hAnsi="Times New Roman" w:cs="Times New Roman"/>
          <w:sz w:val="28"/>
          <w:szCs w:val="28"/>
        </w:rPr>
        <w:t>Одним из значимых элементов улучшения эффективности организации бизнеса является внедрение автоматизированной системы управления цепочками поставок, что позволит оптимизировать финансово-денежные потоки предприятия, повысить показатели   эффективность   складского хозяйства.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 бы проанализировать систему упр</w:t>
      </w:r>
      <w:r w:rsidR="009241BC">
        <w:rPr>
          <w:rFonts w:ascii="Times New Roman" w:eastAsia="Times New Roman" w:hAnsi="Times New Roman" w:cs="Times New Roman"/>
          <w:sz w:val="28"/>
          <w:szCs w:val="28"/>
        </w:rPr>
        <w:t>авления  в компан</w:t>
      </w:r>
      <w:proofErr w:type="gramStart"/>
      <w:r w:rsidR="009241BC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="009241BC">
        <w:rPr>
          <w:rFonts w:ascii="Times New Roman" w:eastAsia="Times New Roman" w:hAnsi="Times New Roman" w:cs="Times New Roman"/>
          <w:sz w:val="28"/>
          <w:szCs w:val="28"/>
        </w:rPr>
        <w:t xml:space="preserve"> «Сектор»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в первую очередь понять с чем придется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столкнуться. Анализ контроллинга </w:t>
      </w:r>
      <w:r w:rsidR="00BF4BE5">
        <w:rPr>
          <w:rFonts w:ascii="Times New Roman" w:eastAsia="Times New Roman" w:hAnsi="Times New Roman" w:cs="Times New Roman"/>
          <w:sz w:val="28"/>
          <w:szCs w:val="28"/>
        </w:rPr>
        <w:t>будет,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примере отдела продаж.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отдела состоит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не проис</w:t>
      </w:r>
      <w:r w:rsidR="00BF4BE5">
        <w:rPr>
          <w:rFonts w:ascii="Times New Roman" w:eastAsia="Times New Roman" w:hAnsi="Times New Roman" w:cs="Times New Roman"/>
          <w:sz w:val="28"/>
          <w:szCs w:val="28"/>
        </w:rPr>
        <w:t>ходит расчет объёма продаж на будущие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периоды, а ведь это поможет проанализировать сколько продукции нужны закупить что бы удовлетворить потребность кл</w:t>
      </w:r>
      <w:r w:rsidR="00BF4BE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ентов которые приходят в этот отдел. Так же с помощью прогнозирования можно узнать какой размер прибыли принесёт </w:t>
      </w:r>
      <w:r w:rsidR="00BF4BE5">
        <w:rPr>
          <w:rFonts w:ascii="Times New Roman" w:eastAsia="Times New Roman" w:hAnsi="Times New Roman" w:cs="Times New Roman"/>
          <w:sz w:val="28"/>
          <w:szCs w:val="28"/>
        </w:rPr>
        <w:t>будущий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Прогнозирование — это научное определение вероятных путей и результатов предстоящего развития экономической системы и оценка показателей, характеризующих это развитие в более или менее отдаленном будущем.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Прогнозирование на основе анализа временных рядов предполагает, что происходившие изменения в объемах продаж могут быть использованы для определения этого показателя в последующие периоды времени.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составления прогноза продаж учитывают показатели компании за последние несколько лет, прогноз роста рынка, динамику развития конкурентов. Оптимальное прогнозирование продаж и корректировку прогноза обеспечивает полный отчет о продажах компании.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практики свидетельствует о том, что внедрение новых систем управления  практически гарантирует успешную реализацию всех функций. Проведенные исследования позволяют сделать вывод о том, что контроль  содействует оптимизации организационно-функциональной структуры компании, определяя функциональное назначение и вертикально-горизонтальные связи основных структурных подразделений. В рамках этого процесса совершенствуется схема управления и распределения функций между службами подразделений. Формализуется и финансовая схема компании – предоставляется описание услуг, оказываемых линейными подразделениями компании друг другу и внешним контрагентам, осуществляется построение схем.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Ключевые задачи, которые решается с помощью совершенствования систем управления, контроля и анализа; применение эффективной системы учета товара и достигнутых результатов; повышение квалификационного уровня персонала; обеспечение заинтересованности работников в постоянном улучшении резуль</w:t>
      </w:r>
      <w:r w:rsidR="001B1F32">
        <w:rPr>
          <w:rFonts w:ascii="Times New Roman" w:eastAsia="Times New Roman" w:hAnsi="Times New Roman" w:cs="Times New Roman"/>
          <w:sz w:val="28"/>
          <w:szCs w:val="28"/>
        </w:rPr>
        <w:t>татов деятельности предприятия.</w:t>
      </w:r>
    </w:p>
    <w:p w:rsidR="00E05B5C" w:rsidRDefault="00E05B5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1BC" w:rsidRDefault="009241B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1BC" w:rsidRDefault="009241B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1BC" w:rsidRDefault="009241B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1BC" w:rsidRPr="009241BC" w:rsidRDefault="009241BC" w:rsidP="008F76C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845" w:rsidRDefault="007C5845" w:rsidP="009241BC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845" w:rsidRDefault="007C5845" w:rsidP="009241BC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B5C" w:rsidRDefault="003F16E2" w:rsidP="009241BC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05B5C" w:rsidRDefault="00E05B5C" w:rsidP="009241BC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845" w:rsidRDefault="007C5845" w:rsidP="007C58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B98">
        <w:rPr>
          <w:rFonts w:ascii="Times New Roman" w:hAnsi="Times New Roman" w:cs="Times New Roman"/>
          <w:color w:val="000000" w:themeColor="text1"/>
          <w:sz w:val="28"/>
          <w:szCs w:val="28"/>
        </w:rPr>
        <w:t>Преддипломная практика является заключительны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этапом подготовки к</w:t>
      </w:r>
      <w:r w:rsidRPr="00CE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профессиональной деятельности. Она необходима, так как студенту следует не только теоретически изучить будущую профессию, но и на практике ознакомиться с ней. </w:t>
      </w:r>
    </w:p>
    <w:p w:rsidR="007C5845" w:rsidRDefault="007C5845" w:rsidP="007C58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86D">
        <w:rPr>
          <w:rFonts w:ascii="Times New Roman" w:eastAsia="Calibri" w:hAnsi="Times New Roman" w:cs="Times New Roman"/>
          <w:sz w:val="28"/>
          <w:szCs w:val="28"/>
        </w:rPr>
        <w:t xml:space="preserve">Практика началась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изучения </w:t>
      </w:r>
      <w:r w:rsidRPr="00B2386D">
        <w:rPr>
          <w:rFonts w:ascii="Times New Roman" w:eastAsia="Calibri" w:hAnsi="Times New Roman" w:cs="Times New Roman"/>
          <w:sz w:val="28"/>
          <w:szCs w:val="28"/>
        </w:rPr>
        <w:t>структуры и концепции развития ООО «</w:t>
      </w:r>
      <w:r>
        <w:rPr>
          <w:rFonts w:ascii="Times New Roman" w:eastAsia="Calibri" w:hAnsi="Times New Roman" w:cs="Times New Roman"/>
          <w:sz w:val="28"/>
          <w:szCs w:val="28"/>
        </w:rPr>
        <w:t>Сектор</w:t>
      </w:r>
      <w:r w:rsidRPr="00B2386D">
        <w:rPr>
          <w:rFonts w:ascii="Times New Roman" w:eastAsia="Calibri" w:hAnsi="Times New Roman" w:cs="Times New Roman"/>
          <w:sz w:val="28"/>
          <w:szCs w:val="28"/>
        </w:rPr>
        <w:t xml:space="preserve">». Затем </w:t>
      </w:r>
      <w:r>
        <w:rPr>
          <w:rFonts w:ascii="Times New Roman" w:eastAsia="Calibri" w:hAnsi="Times New Roman" w:cs="Times New Roman"/>
          <w:sz w:val="28"/>
          <w:szCs w:val="28"/>
        </w:rPr>
        <w:t>был произведен анализ технико-</w:t>
      </w:r>
      <w:r w:rsidRPr="00B2386D">
        <w:rPr>
          <w:rFonts w:ascii="Times New Roman" w:eastAsia="Calibri" w:hAnsi="Times New Roman" w:cs="Times New Roman"/>
          <w:sz w:val="28"/>
          <w:szCs w:val="28"/>
        </w:rPr>
        <w:t>экономи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ческих показателей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логистической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организации. </w:t>
      </w:r>
      <w:r w:rsidRPr="00B2386D">
        <w:rPr>
          <w:rFonts w:ascii="Times New Roman" w:eastAsia="Calibri" w:hAnsi="Times New Roman" w:cs="Times New Roman"/>
          <w:sz w:val="28"/>
          <w:szCs w:val="28"/>
        </w:rPr>
        <w:t xml:space="preserve">После этого началась подготовка к написанию отчета, сбор всех необходимых данных, написание самого отчета </w:t>
      </w:r>
      <w:r w:rsidRPr="00720DAD">
        <w:rPr>
          <w:rFonts w:ascii="Times New Roman" w:hAnsi="Times New Roman" w:cs="Times New Roman"/>
          <w:sz w:val="28"/>
          <w:szCs w:val="28"/>
        </w:rPr>
        <w:t>по теме выпускной квалификационной работы</w:t>
      </w:r>
      <w:r w:rsidRPr="00B2386D">
        <w:rPr>
          <w:rFonts w:ascii="Times New Roman" w:eastAsia="Calibri" w:hAnsi="Times New Roman" w:cs="Times New Roman"/>
          <w:sz w:val="28"/>
          <w:szCs w:val="28"/>
        </w:rPr>
        <w:t xml:space="preserve"> и сдача его руководителю практики.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Технико-экономический анализ деятельности показал, что в компании строго иерархическая система управления, включающая в себя как внутренний, так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аутсорсинговый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контроль, что позволяет добиться максимально точного выполнения любых операций. По операционным показателям, таким как:</w:t>
      </w:r>
      <w:r w:rsidR="007C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торговая площадь, количество покупателей, количество сотрудников -  можно сделать вывод, компания наращивает присутствие на рынке и укрепляет позиции среди покупателей.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анализа логистической деятельности выяснилось, что отличительной чертой ООО «Сектор» является использов</w:t>
      </w:r>
      <w:r w:rsidR="007C5845">
        <w:rPr>
          <w:rFonts w:ascii="Times New Roman" w:eastAsia="Times New Roman" w:hAnsi="Times New Roman" w:cs="Times New Roman"/>
          <w:sz w:val="28"/>
          <w:szCs w:val="28"/>
        </w:rPr>
        <w:t>ание нового оборудования склада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позволяют избежать нестабильности поставок продукции, позволяют усилить контроль товарооборота, дают возможность компании иметь одни из самых низких показателей потерь товара, а также позволяют осуществлять доставку товара в течение суток.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логистической системы  «точно-в-срок» позволяет максимально синхронизировать возникновение потребности в товаре и её устранение, что дает возможность ликвидировать лишние запасы.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данный момент в компании ведется работа по оптимизации грузопотоков по средствам хронометражей рабочего времени, с целью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ликвидации лишних операций, а также при помощи составления норм минимальных заказов, внедрения новых видов укладки продукции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гофрокороба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5B5C" w:rsidRDefault="003F16E2" w:rsidP="001B1F32">
      <w:pPr>
        <w:pStyle w:val="10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компания с первых лет существования старается внедрять новые технологии, уделяя большое внимание логистическим процессам, оптимизация которых сокращает издержки.</w:t>
      </w:r>
    </w:p>
    <w:p w:rsidR="0082433D" w:rsidRDefault="0082433D" w:rsidP="008F76C4">
      <w:pPr>
        <w:pStyle w:val="1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33D" w:rsidRDefault="0082433D" w:rsidP="008F76C4">
      <w:pPr>
        <w:pStyle w:val="1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7C5845">
      <w:pPr>
        <w:shd w:val="clear" w:color="auto" w:fill="FFFFFF"/>
        <w:spacing w:before="36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Pr="007C5845" w:rsidRDefault="001B1F32" w:rsidP="007C5845">
      <w:pPr>
        <w:shd w:val="clear" w:color="auto" w:fill="FFFFFF"/>
        <w:spacing w:before="36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Приложения</w:t>
      </w: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33D" w:rsidRPr="00915FAB" w:rsidRDefault="0082433D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5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Pr="00915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proofErr w:type="gramEnd"/>
    </w:p>
    <w:p w:rsidR="0082433D" w:rsidRPr="00E45769" w:rsidRDefault="0082433D" w:rsidP="0082433D">
      <w:pPr>
        <w:shd w:val="clear" w:color="auto" w:fill="FFFFFF"/>
        <w:spacing w:before="36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Бухгалтерский баланс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990"/>
        <w:gridCol w:w="990"/>
        <w:gridCol w:w="990"/>
        <w:gridCol w:w="990"/>
        <w:gridCol w:w="990"/>
      </w:tblGrid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7 627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10 130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13 511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5 719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7 229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4 033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4 033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4 033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4 033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4 033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11 670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14 821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17 544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9 752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11 262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73 243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73 096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77 824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74 406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76 474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1 318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21 351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4 810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33 463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13 525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13 818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11 681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3 874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1 959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1 953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1 391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106 721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82 687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114 564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89 884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91 683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118 391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97 508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132 108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99 636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102 945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33 000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16 709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15 821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16 627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9 603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EC7F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7 917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49 696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48 808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49 614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42 590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40 904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25 617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19 053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33 454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EC7F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31 541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29 282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24 461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28 011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49 040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25 505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32 759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1 117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1 220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51 195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48 284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82 494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</w:rPr>
              <w:t>57 046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sz w:val="24"/>
                <w:szCs w:val="24"/>
              </w:rPr>
              <w:t>62 041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118 391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97 508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132 108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99 636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102 945</w:t>
            </w:r>
          </w:p>
        </w:tc>
      </w:tr>
    </w:tbl>
    <w:p w:rsidR="001B1F32" w:rsidRDefault="001B1F32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33D" w:rsidRPr="00915FAB" w:rsidRDefault="0082433D" w:rsidP="0082433D">
      <w:pPr>
        <w:shd w:val="clear" w:color="auto" w:fill="FFFFFF"/>
        <w:spacing w:before="360" w:after="12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5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 w:rsidRPr="00915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</w:p>
    <w:p w:rsidR="0082433D" w:rsidRPr="00EC7FE7" w:rsidRDefault="0082433D" w:rsidP="0082433D">
      <w:pPr>
        <w:shd w:val="clear" w:color="auto" w:fill="FFFFFF"/>
        <w:spacing w:before="36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Отчет о </w:t>
      </w:r>
      <w:r w:rsidR="00EC7FE7" w:rsidRPr="00EC7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финансовых результатах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3"/>
        <w:gridCol w:w="921"/>
        <w:gridCol w:w="921"/>
        <w:gridCol w:w="921"/>
        <w:gridCol w:w="921"/>
        <w:gridCol w:w="921"/>
      </w:tblGrid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294 415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231 219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295 957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241 457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205 117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(216 641)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(169 543)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(222 444)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(188 137)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(208 661)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77 774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61 676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73 513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53 320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(3 544)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(72 244)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(54 474)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(60 862)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(52 690)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(44 080)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(0)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(0)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(0)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(0)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000000"/>
                <w:sz w:val="18"/>
                <w:szCs w:val="18"/>
                <w:bdr w:val="none" w:sz="0" w:space="0" w:color="auto" w:frame="1"/>
              </w:rPr>
              <w:t>44 080</w:t>
            </w:r>
            <w:r w:rsidRPr="00E45769">
              <w:rPr>
                <w:rFonts w:ascii="inherit" w:eastAsia="Times New Roman" w:hAnsi="inherit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5 530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12 651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(3 544)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(2 551)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(3 732)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(3 358)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(2 044)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(1 636)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12 689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13 118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5 806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9 246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(14 112)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(15 188)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(587)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(2 219)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(3 645)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1 733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8 806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2 173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421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(749)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(677)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(1 780)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(487)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(1 185)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1 143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(416)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(136)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(1 171)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666666"/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ascii="inherit" w:eastAsia="Times New Roman" w:hAnsi="inherit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7 026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1 686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000000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(764)</w:t>
            </w:r>
          </w:p>
        </w:tc>
      </w:tr>
      <w:tr w:rsidR="0082433D" w:rsidRPr="00E45769" w:rsidTr="00117C7A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7 026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1 686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33D" w:rsidRPr="00E45769" w:rsidRDefault="0082433D" w:rsidP="00117C7A">
            <w:pPr>
              <w:spacing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45769">
              <w:rPr>
                <w:rFonts w:eastAsia="Times New Roman"/>
                <w:color w:val="000000"/>
                <w:sz w:val="18"/>
                <w:szCs w:val="18"/>
              </w:rPr>
              <w:t>(764)</w:t>
            </w:r>
          </w:p>
        </w:tc>
      </w:tr>
    </w:tbl>
    <w:p w:rsidR="0082433D" w:rsidRDefault="0082433D" w:rsidP="0082433D"/>
    <w:p w:rsidR="0082433D" w:rsidRDefault="0082433D" w:rsidP="008F76C4">
      <w:pPr>
        <w:pStyle w:val="1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433D" w:rsidSect="00117C7A">
      <w:footerReference w:type="default" r:id="rId10"/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6B" w:rsidRDefault="0062766B" w:rsidP="00E05B5C">
      <w:pPr>
        <w:spacing w:line="240" w:lineRule="auto"/>
      </w:pPr>
      <w:r>
        <w:separator/>
      </w:r>
    </w:p>
  </w:endnote>
  <w:endnote w:type="continuationSeparator" w:id="0">
    <w:p w:rsidR="0062766B" w:rsidRDefault="0062766B" w:rsidP="00E05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43" w:rsidRDefault="000B69A8">
    <w:pPr>
      <w:pStyle w:val="10"/>
      <w:jc w:val="center"/>
    </w:pPr>
    <w:fldSimple w:instr="PAGE">
      <w:r w:rsidR="0014029F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6B" w:rsidRDefault="0062766B" w:rsidP="00E05B5C">
      <w:pPr>
        <w:spacing w:line="240" w:lineRule="auto"/>
      </w:pPr>
      <w:r>
        <w:separator/>
      </w:r>
    </w:p>
  </w:footnote>
  <w:footnote w:type="continuationSeparator" w:id="0">
    <w:p w:rsidR="0062766B" w:rsidRDefault="0062766B" w:rsidP="00E05B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2B9B"/>
    <w:multiLevelType w:val="hybridMultilevel"/>
    <w:tmpl w:val="0D968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5C"/>
    <w:rsid w:val="00004B2E"/>
    <w:rsid w:val="000B69A8"/>
    <w:rsid w:val="00102BC9"/>
    <w:rsid w:val="00117C7A"/>
    <w:rsid w:val="0014029F"/>
    <w:rsid w:val="00153CEB"/>
    <w:rsid w:val="00164164"/>
    <w:rsid w:val="001B1F32"/>
    <w:rsid w:val="001B2FBA"/>
    <w:rsid w:val="00226B18"/>
    <w:rsid w:val="002A45D4"/>
    <w:rsid w:val="00312EF4"/>
    <w:rsid w:val="003F16E2"/>
    <w:rsid w:val="00443643"/>
    <w:rsid w:val="005C6E67"/>
    <w:rsid w:val="0062766B"/>
    <w:rsid w:val="00730EDB"/>
    <w:rsid w:val="007419E9"/>
    <w:rsid w:val="00772518"/>
    <w:rsid w:val="00777549"/>
    <w:rsid w:val="007C5845"/>
    <w:rsid w:val="0082433D"/>
    <w:rsid w:val="00887953"/>
    <w:rsid w:val="008C016A"/>
    <w:rsid w:val="008F76C4"/>
    <w:rsid w:val="009241BC"/>
    <w:rsid w:val="00927FB5"/>
    <w:rsid w:val="00930508"/>
    <w:rsid w:val="00AC25FB"/>
    <w:rsid w:val="00AD6F66"/>
    <w:rsid w:val="00B61369"/>
    <w:rsid w:val="00BF4BE5"/>
    <w:rsid w:val="00CD2100"/>
    <w:rsid w:val="00D80C15"/>
    <w:rsid w:val="00DB1737"/>
    <w:rsid w:val="00E05B5C"/>
    <w:rsid w:val="00E62748"/>
    <w:rsid w:val="00E91134"/>
    <w:rsid w:val="00EC7FE7"/>
    <w:rsid w:val="00EE597E"/>
    <w:rsid w:val="00F8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6A"/>
  </w:style>
  <w:style w:type="paragraph" w:styleId="1">
    <w:name w:val="heading 1"/>
    <w:basedOn w:val="10"/>
    <w:next w:val="10"/>
    <w:rsid w:val="00E05B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05B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05B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05B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05B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05B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5B5C"/>
  </w:style>
  <w:style w:type="table" w:customStyle="1" w:styleId="TableNormal">
    <w:name w:val="Table Normal"/>
    <w:rsid w:val="00E05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05B5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05B5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05B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05B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05B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05B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4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B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D21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6A"/>
  </w:style>
  <w:style w:type="paragraph" w:styleId="1">
    <w:name w:val="heading 1"/>
    <w:basedOn w:val="10"/>
    <w:next w:val="10"/>
    <w:rsid w:val="00E05B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05B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05B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05B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05B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05B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5B5C"/>
  </w:style>
  <w:style w:type="table" w:customStyle="1" w:styleId="TableNormal">
    <w:name w:val="Table Normal"/>
    <w:rsid w:val="00E05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05B5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05B5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05B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05B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05B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05B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4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4CF7-3E7B-4746-80F7-7F8AC92E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махач</cp:lastModifiedBy>
  <cp:revision>4</cp:revision>
  <cp:lastPrinted>2018-06-07T06:49:00Z</cp:lastPrinted>
  <dcterms:created xsi:type="dcterms:W3CDTF">2018-06-08T12:22:00Z</dcterms:created>
  <dcterms:modified xsi:type="dcterms:W3CDTF">2018-06-08T12:26:00Z</dcterms:modified>
</cp:coreProperties>
</file>