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B7" w:rsidRPr="007970B7" w:rsidRDefault="004A4AC7" w:rsidP="007970B7">
      <w:pPr>
        <w:spacing w:after="0" w:line="240" w:lineRule="auto"/>
        <w:ind w:left="60"/>
        <w:jc w:val="right"/>
        <w:rPr>
          <w:rFonts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МЕЛЬНИКОВА ЛАРИСА ВЛАДИМИРОВНА</w:t>
      </w:r>
    </w:p>
    <w:p w:rsidR="007970B7" w:rsidRPr="007970B7" w:rsidRDefault="007970B7" w:rsidP="007970B7">
      <w:pPr>
        <w:spacing w:after="0" w:line="240" w:lineRule="auto"/>
        <w:ind w:left="-426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970B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="004A4AC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преподаватель</w:t>
      </w:r>
      <w:r w:rsidRPr="007970B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кафедры </w:t>
      </w:r>
      <w:r w:rsidR="004A4AC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менеджмента и таможенного дела Смоленского филиала</w:t>
      </w:r>
      <w:r w:rsidRPr="007970B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РЭУ им. Г.В. Плеханова</w:t>
      </w:r>
      <w:r w:rsidRPr="007970B7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7970B7" w:rsidRPr="007970B7" w:rsidRDefault="007970B7" w:rsidP="007970B7">
      <w:pPr>
        <w:spacing w:after="0" w:line="240" w:lineRule="auto"/>
        <w:jc w:val="right"/>
        <w:rPr>
          <w:rFonts w:cs="Calibri"/>
          <w:color w:val="000000"/>
          <w:sz w:val="20"/>
          <w:szCs w:val="20"/>
          <w:lang w:eastAsia="ru-RU"/>
        </w:rPr>
      </w:pPr>
    </w:p>
    <w:p w:rsidR="007970B7" w:rsidRPr="007970B7" w:rsidRDefault="004A4AC7" w:rsidP="007970B7">
      <w:pPr>
        <w:spacing w:after="0" w:line="240" w:lineRule="auto"/>
        <w:jc w:val="center"/>
        <w:rPr>
          <w:rFonts w:cs="Calibri"/>
          <w:color w:val="000000"/>
          <w:sz w:val="20"/>
          <w:szCs w:val="20"/>
          <w:lang w:eastAsia="ru-RU"/>
        </w:rPr>
      </w:pPr>
      <w:r w:rsidRPr="004A4A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Проблемы и перспективы сотрудничества России и Беларуси в рамках Евразийского экономического сообщества.</w:t>
      </w:r>
    </w:p>
    <w:p w:rsidR="007970B7" w:rsidRPr="007970B7" w:rsidRDefault="007970B7" w:rsidP="007970B7">
      <w:pPr>
        <w:spacing w:after="0" w:line="240" w:lineRule="auto"/>
        <w:jc w:val="center"/>
        <w:rPr>
          <w:rFonts w:cs="Calibri"/>
          <w:color w:val="000000"/>
          <w:sz w:val="20"/>
          <w:szCs w:val="20"/>
          <w:lang w:eastAsia="ru-RU"/>
        </w:rPr>
      </w:pPr>
    </w:p>
    <w:p w:rsidR="007970B7" w:rsidRPr="007970B7" w:rsidRDefault="007970B7" w:rsidP="007970B7">
      <w:pPr>
        <w:spacing w:after="0" w:line="240" w:lineRule="auto"/>
        <w:ind w:left="720"/>
        <w:rPr>
          <w:rFonts w:cs="Calibri"/>
          <w:color w:val="000000"/>
          <w:sz w:val="20"/>
          <w:szCs w:val="20"/>
          <w:lang w:eastAsia="ru-RU"/>
        </w:rPr>
      </w:pPr>
      <w:r w:rsidRPr="007970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</w:t>
      </w:r>
    </w:p>
    <w:p w:rsidR="007970B7" w:rsidRPr="007970B7" w:rsidRDefault="007970B7" w:rsidP="007970B7">
      <w:pPr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</w:p>
    <w:p w:rsidR="007970B7" w:rsidRPr="007970B7" w:rsidRDefault="007970B7" w:rsidP="007970B7">
      <w:pPr>
        <w:spacing w:after="0" w:line="240" w:lineRule="auto"/>
        <w:ind w:firstLine="708"/>
        <w:jc w:val="both"/>
        <w:rPr>
          <w:rFonts w:cs="Calibri"/>
          <w:color w:val="000000"/>
          <w:sz w:val="20"/>
          <w:szCs w:val="20"/>
          <w:lang w:eastAsia="ru-RU"/>
        </w:rPr>
      </w:pPr>
      <w:r w:rsidRPr="0079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статье рассматриваются проблемы </w:t>
      </w:r>
      <w:r w:rsidR="004A4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взаимоотношений России и Беларуси в рамках Евразийского экономического сообщества. Выделяется ряд ключевых проблем, перспективы взаимодействия, а также участие Смоленской области как приграничной зоны.</w:t>
      </w:r>
    </w:p>
    <w:p w:rsidR="007970B7" w:rsidRPr="007970B7" w:rsidRDefault="007970B7" w:rsidP="007970B7">
      <w:pPr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bookmarkStart w:id="0" w:name="_30j0zll" w:colFirst="0" w:colLast="0"/>
      <w:bookmarkEnd w:id="0"/>
    </w:p>
    <w:p w:rsidR="007970B7" w:rsidRPr="007970B7" w:rsidRDefault="007970B7" w:rsidP="007970B7">
      <w:pPr>
        <w:spacing w:after="0" w:line="240" w:lineRule="auto"/>
        <w:ind w:firstLine="720"/>
        <w:jc w:val="both"/>
        <w:rPr>
          <w:rFonts w:cs="Calibri"/>
          <w:sz w:val="20"/>
          <w:szCs w:val="20"/>
          <w:lang w:eastAsia="ru-RU"/>
        </w:rPr>
      </w:pPr>
      <w:r w:rsidRPr="007970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КЛЮЧЕВЫЕ СЛОВА: </w:t>
      </w:r>
      <w:r w:rsidR="004A4AC7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сообщество, кризис, </w:t>
      </w:r>
      <w:r w:rsidR="00242112">
        <w:rPr>
          <w:rFonts w:ascii="Times New Roman" w:eastAsia="Times New Roman" w:hAnsi="Times New Roman"/>
          <w:sz w:val="28"/>
          <w:szCs w:val="28"/>
          <w:lang w:eastAsia="ru-RU"/>
        </w:rPr>
        <w:t>перспективы, торговые отношения</w:t>
      </w:r>
      <w:r w:rsidR="00984E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70B7" w:rsidRPr="007970B7" w:rsidRDefault="007970B7" w:rsidP="007970B7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70B7" w:rsidRPr="007970B7" w:rsidRDefault="007970B7" w:rsidP="007970B7">
      <w:pPr>
        <w:spacing w:after="0" w:line="240" w:lineRule="auto"/>
        <w:ind w:left="720"/>
        <w:rPr>
          <w:rFonts w:cs="Calibri"/>
          <w:sz w:val="20"/>
          <w:szCs w:val="20"/>
          <w:lang w:val="en-US" w:eastAsia="ru-RU"/>
        </w:rPr>
      </w:pPr>
      <w:r w:rsidRPr="007970B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ABSTRACT</w:t>
      </w:r>
    </w:p>
    <w:p w:rsidR="007970B7" w:rsidRPr="007970B7" w:rsidRDefault="007970B7" w:rsidP="007970B7">
      <w:pPr>
        <w:spacing w:after="0" w:line="240" w:lineRule="auto"/>
        <w:rPr>
          <w:rFonts w:cs="Calibri"/>
          <w:sz w:val="20"/>
          <w:szCs w:val="20"/>
          <w:lang w:val="en-US" w:eastAsia="ru-RU"/>
        </w:rPr>
      </w:pPr>
    </w:p>
    <w:p w:rsidR="007970B7" w:rsidRPr="00AA76E4" w:rsidRDefault="00984E81" w:rsidP="007970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984E81">
        <w:rPr>
          <w:rFonts w:ascii="Times New Roman" w:eastAsia="Times New Roman" w:hAnsi="Times New Roman"/>
          <w:sz w:val="28"/>
          <w:szCs w:val="28"/>
          <w:lang w:val="en-US" w:eastAsia="ru-RU"/>
        </w:rPr>
        <w:t>The article discusses the problems of relations between Russia and Belarus within the framework of the Eurasian Economic Community. A number of key problems are identified, the prospects for interaction, as well as the participation of the Smolensk region as a border zone.</w:t>
      </w:r>
    </w:p>
    <w:p w:rsidR="00984E81" w:rsidRPr="00AA76E4" w:rsidRDefault="00984E81" w:rsidP="007970B7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en-US" w:eastAsia="ru-RU"/>
        </w:rPr>
      </w:pPr>
    </w:p>
    <w:p w:rsidR="007970B7" w:rsidRPr="007970B7" w:rsidRDefault="007970B7" w:rsidP="007970B7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970B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KEY WORDS:</w:t>
      </w:r>
      <w:r w:rsidRPr="007970B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984E81" w:rsidRPr="00984E81">
        <w:rPr>
          <w:rFonts w:ascii="Times New Roman" w:eastAsia="Times New Roman" w:hAnsi="Times New Roman"/>
          <w:sz w:val="28"/>
          <w:szCs w:val="28"/>
          <w:lang w:val="en-US" w:eastAsia="ru-RU"/>
        </w:rPr>
        <w:t>community, crisis, prospects, trade relations</w:t>
      </w:r>
      <w:proofErr w:type="gramStart"/>
      <w:r w:rsidR="00984E81" w:rsidRPr="00984E81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7970B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proofErr w:type="gramEnd"/>
    </w:p>
    <w:p w:rsidR="00E41C32" w:rsidRPr="00181351" w:rsidRDefault="00AA76E4" w:rsidP="00B25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tooltip="Россия" w:history="1">
        <w:r w:rsidR="008E4E23" w:rsidRPr="00181351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Россия</w:t>
        </w:r>
      </w:hyperlink>
      <w:r w:rsidR="008E4E23" w:rsidRPr="00181351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7" w:tooltip="Белоруссия" w:history="1">
        <w:r w:rsidR="0024211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Республика</w:t>
        </w:r>
      </w:hyperlink>
      <w:r w:rsidR="00242112">
        <w:rPr>
          <w:rStyle w:val="a3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Беларусь</w:t>
      </w:r>
      <w:r w:rsidR="008E4E23" w:rsidRPr="00181351">
        <w:rPr>
          <w:rFonts w:ascii="Times New Roman" w:hAnsi="Times New Roman"/>
          <w:sz w:val="28"/>
          <w:szCs w:val="28"/>
          <w:shd w:val="clear" w:color="auto" w:fill="FFFFFF"/>
        </w:rPr>
        <w:t> являются тесными партнёрами в экономической, политической и военных сферах. Россия и другие постсоветские государ</w:t>
      </w:r>
      <w:r w:rsidR="00242112">
        <w:rPr>
          <w:rFonts w:ascii="Times New Roman" w:hAnsi="Times New Roman"/>
          <w:sz w:val="28"/>
          <w:szCs w:val="28"/>
          <w:shd w:val="clear" w:color="auto" w:fill="FFFFFF"/>
        </w:rPr>
        <w:t>ства представляют для Беларуси</w:t>
      </w:r>
      <w:r w:rsidR="008E4E23" w:rsidRPr="00181351">
        <w:rPr>
          <w:rFonts w:ascii="Times New Roman" w:hAnsi="Times New Roman"/>
          <w:sz w:val="28"/>
          <w:szCs w:val="28"/>
          <w:shd w:val="clear" w:color="auto" w:fill="FFFFFF"/>
        </w:rPr>
        <w:t xml:space="preserve"> крайне важный рынок сбыта продукции и источник сырья</w:t>
      </w:r>
      <w:r w:rsidR="000B70CE" w:rsidRPr="0018135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E4E23" w:rsidRPr="00181351">
        <w:rPr>
          <w:rFonts w:ascii="Times New Roman" w:hAnsi="Times New Roman"/>
          <w:sz w:val="28"/>
          <w:szCs w:val="28"/>
          <w:shd w:val="clear" w:color="auto" w:fill="FFFFFF"/>
        </w:rPr>
        <w:t>Росси</w:t>
      </w:r>
      <w:r w:rsidR="00B25F88" w:rsidRPr="00181351">
        <w:rPr>
          <w:rFonts w:ascii="Times New Roman" w:hAnsi="Times New Roman"/>
          <w:sz w:val="28"/>
          <w:szCs w:val="28"/>
          <w:shd w:val="clear" w:color="auto" w:fill="FFFFFF"/>
        </w:rPr>
        <w:t xml:space="preserve">я и </w:t>
      </w:r>
      <w:r w:rsidR="00242112">
        <w:rPr>
          <w:rStyle w:val="a3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Беларусь</w:t>
      </w:r>
      <w:r w:rsidR="00B25F88" w:rsidRPr="00181351">
        <w:rPr>
          <w:rFonts w:ascii="Times New Roman" w:hAnsi="Times New Roman"/>
          <w:sz w:val="28"/>
          <w:szCs w:val="28"/>
          <w:shd w:val="clear" w:color="auto" w:fill="FFFFFF"/>
        </w:rPr>
        <w:t xml:space="preserve"> являются членами-</w:t>
      </w:r>
      <w:r w:rsidR="008E4E23" w:rsidRPr="00181351">
        <w:rPr>
          <w:rFonts w:ascii="Times New Roman" w:hAnsi="Times New Roman"/>
          <w:sz w:val="28"/>
          <w:szCs w:val="28"/>
          <w:shd w:val="clear" w:color="auto" w:fill="FFFFFF"/>
        </w:rPr>
        <w:t>соучредителями </w:t>
      </w:r>
      <w:hyperlink r:id="rId8" w:tooltip="Союзное государство" w:history="1">
        <w:r w:rsidR="00653D55" w:rsidRPr="0018135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Союзного </w:t>
        </w:r>
        <w:r w:rsidR="008E4E23" w:rsidRPr="0018135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государства</w:t>
        </w:r>
      </w:hyperlink>
      <w:r w:rsidR="008E4E23" w:rsidRPr="00181351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9" w:tooltip="Таможенный союз ЕАЭС" w:history="1">
        <w:r w:rsidR="008E4E23" w:rsidRPr="0018135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Таможенного</w:t>
        </w:r>
      </w:hyperlink>
      <w:r w:rsidR="008E4E23" w:rsidRPr="00181351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0" w:tooltip="Евразийский экономический союз" w:history="1">
        <w:r w:rsidR="00B25F88" w:rsidRPr="0018135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Евразийского </w:t>
        </w:r>
        <w:r w:rsidR="008E4E23" w:rsidRPr="0018135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экономического союза</w:t>
        </w:r>
      </w:hyperlink>
      <w:r w:rsidR="008E4E23" w:rsidRPr="00181351">
        <w:rPr>
          <w:rFonts w:ascii="Times New Roman" w:hAnsi="Times New Roman"/>
          <w:sz w:val="28"/>
          <w:szCs w:val="28"/>
          <w:shd w:val="clear" w:color="auto" w:fill="FFFFFF"/>
        </w:rPr>
        <w:t>, а также осуществляют военное сотрудничество в рамках </w:t>
      </w:r>
      <w:r w:rsidR="008E4E23" w:rsidRPr="00181351">
        <w:rPr>
          <w:rFonts w:ascii="Times New Roman" w:hAnsi="Times New Roman"/>
          <w:sz w:val="28"/>
          <w:szCs w:val="28"/>
        </w:rPr>
        <w:t>Организации Договора о коллективной безопасности</w:t>
      </w:r>
      <w:r w:rsidR="008E4E23" w:rsidRPr="00181351">
        <w:rPr>
          <w:rFonts w:ascii="Times New Roman" w:hAnsi="Times New Roman"/>
          <w:sz w:val="28"/>
          <w:szCs w:val="28"/>
          <w:shd w:val="clear" w:color="auto" w:fill="FFFFFF"/>
        </w:rPr>
        <w:t>. Несмотря на тесную интеграцию, в отношениях между странами периодически возникают осложнения.</w:t>
      </w:r>
    </w:p>
    <w:p w:rsidR="00E41C32" w:rsidRPr="00181351" w:rsidRDefault="00E41C32" w:rsidP="00B25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51">
        <w:rPr>
          <w:rFonts w:ascii="Times New Roman" w:hAnsi="Times New Roman"/>
          <w:sz w:val="28"/>
          <w:szCs w:val="28"/>
        </w:rPr>
        <w:t xml:space="preserve">ЕАЭС </w:t>
      </w:r>
      <w:proofErr w:type="gramStart"/>
      <w:r w:rsidRPr="00181351">
        <w:rPr>
          <w:rFonts w:ascii="Times New Roman" w:hAnsi="Times New Roman"/>
          <w:sz w:val="28"/>
          <w:szCs w:val="28"/>
        </w:rPr>
        <w:t>создан</w:t>
      </w:r>
      <w:proofErr w:type="gramEnd"/>
      <w:r w:rsidRPr="00181351">
        <w:rPr>
          <w:rFonts w:ascii="Times New Roman" w:hAnsi="Times New Roman"/>
          <w:sz w:val="28"/>
          <w:szCs w:val="28"/>
        </w:rPr>
        <w:t xml:space="preserve"> в целях всесторонней модернизации, кооперации и повышения конкурентоспособности национальных экономик и создания условий для стабильного развития в интересах повышения жизненного уровня населения государств-членов.</w:t>
      </w:r>
    </w:p>
    <w:p w:rsidR="00FB4D46" w:rsidRPr="00181351" w:rsidRDefault="00FB4D46" w:rsidP="00B25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51">
        <w:rPr>
          <w:rFonts w:ascii="Times New Roman" w:hAnsi="Times New Roman"/>
          <w:sz w:val="28"/>
          <w:szCs w:val="28"/>
        </w:rPr>
        <w:lastRenderedPageBreak/>
        <w:t xml:space="preserve">В связи со снятием барьеров во внешней торговле в Таможенном союзе и затем в ЕАЭС наблюдался эффект роста товарооборота между Россией и Беларусью. Так, по состоянию </w:t>
      </w:r>
      <w:proofErr w:type="gramStart"/>
      <w:r w:rsidRPr="00181351">
        <w:rPr>
          <w:rFonts w:ascii="Times New Roman" w:hAnsi="Times New Roman"/>
          <w:sz w:val="28"/>
          <w:szCs w:val="28"/>
        </w:rPr>
        <w:t>на конец</w:t>
      </w:r>
      <w:proofErr w:type="gramEnd"/>
      <w:r w:rsidRPr="00181351">
        <w:rPr>
          <w:rFonts w:ascii="Times New Roman" w:hAnsi="Times New Roman"/>
          <w:sz w:val="28"/>
          <w:szCs w:val="28"/>
        </w:rPr>
        <w:t xml:space="preserve"> 2010 г. после запуска Таможенного союза товарооборот между РБ и РФ вырос примерно на 50%. Динамика торговли дв</w:t>
      </w:r>
      <w:r w:rsidR="000B70CE" w:rsidRPr="00181351">
        <w:rPr>
          <w:rFonts w:ascii="Times New Roman" w:hAnsi="Times New Roman"/>
          <w:sz w:val="28"/>
          <w:szCs w:val="28"/>
        </w:rPr>
        <w:t>ух стран представлена в таблице 1.</w:t>
      </w:r>
    </w:p>
    <w:p w:rsidR="007970B7" w:rsidRDefault="000B70CE" w:rsidP="007970B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970B7">
        <w:rPr>
          <w:rFonts w:ascii="Times New Roman" w:hAnsi="Times New Roman"/>
          <w:sz w:val="24"/>
          <w:szCs w:val="24"/>
        </w:rPr>
        <w:t>Таблица 1.</w:t>
      </w:r>
      <w:r w:rsidR="00FB4D46" w:rsidRPr="007970B7">
        <w:rPr>
          <w:rFonts w:ascii="Times New Roman" w:hAnsi="Times New Roman"/>
          <w:sz w:val="24"/>
          <w:szCs w:val="24"/>
        </w:rPr>
        <w:t xml:space="preserve"> Внешняя торговля Российской Федерации с Р</w:t>
      </w:r>
      <w:r w:rsidRPr="007970B7">
        <w:rPr>
          <w:rFonts w:ascii="Times New Roman" w:hAnsi="Times New Roman"/>
          <w:sz w:val="24"/>
          <w:szCs w:val="24"/>
        </w:rPr>
        <w:t xml:space="preserve">еспубликой Беларусь, </w:t>
      </w:r>
    </w:p>
    <w:p w:rsidR="000B70CE" w:rsidRPr="007970B7" w:rsidRDefault="000B70CE" w:rsidP="007970B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970B7">
        <w:rPr>
          <w:rFonts w:ascii="Times New Roman" w:hAnsi="Times New Roman"/>
          <w:sz w:val="24"/>
          <w:szCs w:val="24"/>
        </w:rPr>
        <w:t>млн</w:t>
      </w:r>
      <w:proofErr w:type="gramEnd"/>
      <w:r w:rsidRPr="007970B7">
        <w:rPr>
          <w:rFonts w:ascii="Times New Roman" w:hAnsi="Times New Roman"/>
          <w:sz w:val="24"/>
          <w:szCs w:val="24"/>
        </w:rPr>
        <w:t xml:space="preserve"> долл.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1062"/>
        <w:gridCol w:w="1062"/>
        <w:gridCol w:w="1062"/>
        <w:gridCol w:w="1062"/>
        <w:gridCol w:w="1062"/>
        <w:gridCol w:w="1062"/>
        <w:gridCol w:w="1062"/>
      </w:tblGrid>
      <w:tr w:rsidR="00181351" w:rsidRPr="00181351" w:rsidTr="00B25F88">
        <w:tc>
          <w:tcPr>
            <w:tcW w:w="2376" w:type="dxa"/>
          </w:tcPr>
          <w:p w:rsidR="0096409E" w:rsidRPr="00181351" w:rsidRDefault="0096409E" w:rsidP="00FB4D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2010 г.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</w:tr>
      <w:tr w:rsidR="00181351" w:rsidRPr="00181351" w:rsidTr="00B25F88">
        <w:tc>
          <w:tcPr>
            <w:tcW w:w="2376" w:type="dxa"/>
          </w:tcPr>
          <w:p w:rsidR="0096409E" w:rsidRPr="00181351" w:rsidRDefault="0096409E" w:rsidP="00FB4D46">
            <w:pPr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Товарооборот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28 034,3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39 991,6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43 824,6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39 716,8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37 370,1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27 530,3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25 946,9</w:t>
            </w:r>
          </w:p>
        </w:tc>
      </w:tr>
      <w:tr w:rsidR="00181351" w:rsidRPr="00181351" w:rsidTr="00B25F88">
        <w:tc>
          <w:tcPr>
            <w:tcW w:w="2376" w:type="dxa"/>
          </w:tcPr>
          <w:p w:rsidR="0096409E" w:rsidRPr="00181351" w:rsidRDefault="0096409E" w:rsidP="00FB4D46">
            <w:pPr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К предыдущему периоду (</w:t>
            </w:r>
            <w:proofErr w:type="gramStart"/>
            <w:r w:rsidRPr="0018135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81351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119,6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142,7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81351" w:rsidRPr="00181351" w:rsidTr="00B25F88">
        <w:tc>
          <w:tcPr>
            <w:tcW w:w="2376" w:type="dxa"/>
          </w:tcPr>
          <w:p w:rsidR="0096409E" w:rsidRPr="00181351" w:rsidRDefault="0096409E" w:rsidP="00FB4D46">
            <w:pPr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Экспорт из России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18 800,6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25 483,0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27 540,9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22 887,5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22 190,2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17 143,1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15 144,3</w:t>
            </w:r>
          </w:p>
        </w:tc>
      </w:tr>
      <w:tr w:rsidR="00181351" w:rsidRPr="00181351" w:rsidTr="00B25F88">
        <w:tc>
          <w:tcPr>
            <w:tcW w:w="2376" w:type="dxa"/>
          </w:tcPr>
          <w:p w:rsidR="0096409E" w:rsidRPr="00181351" w:rsidRDefault="0096409E" w:rsidP="00FB4D46">
            <w:pPr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К предыдущему периоду (</w:t>
            </w:r>
            <w:proofErr w:type="gramStart"/>
            <w:r w:rsidRPr="0018135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81351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181351" w:rsidRPr="00181351" w:rsidTr="00B25F88">
        <w:tc>
          <w:tcPr>
            <w:tcW w:w="2376" w:type="dxa"/>
          </w:tcPr>
          <w:p w:rsidR="0096409E" w:rsidRPr="00181351" w:rsidRDefault="0096409E" w:rsidP="00FB4D46">
            <w:pPr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Импорт из Беларуси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9 953,6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14 508,6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16 283,7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16 829,3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15 181, 7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10 398,4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10 820,6</w:t>
            </w:r>
          </w:p>
        </w:tc>
      </w:tr>
      <w:tr w:rsidR="00181351" w:rsidRPr="00181351" w:rsidTr="00B25F88">
        <w:tc>
          <w:tcPr>
            <w:tcW w:w="2376" w:type="dxa"/>
          </w:tcPr>
          <w:p w:rsidR="0096409E" w:rsidRPr="00181351" w:rsidRDefault="0096409E" w:rsidP="00FB4D46">
            <w:pPr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К предыдущему периоду (</w:t>
            </w:r>
            <w:proofErr w:type="gramStart"/>
            <w:r w:rsidRPr="0018135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81351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142,8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112,2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181351" w:rsidRPr="00181351" w:rsidTr="00B25F88">
        <w:tc>
          <w:tcPr>
            <w:tcW w:w="2376" w:type="dxa"/>
          </w:tcPr>
          <w:p w:rsidR="0096409E" w:rsidRPr="00181351" w:rsidRDefault="0096409E" w:rsidP="00FB4D46">
            <w:pPr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Торговое сальдо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8 127,0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10 974,4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11 257,2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6 058,2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7 009,2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6 058,2</w:t>
            </w:r>
          </w:p>
        </w:tc>
        <w:tc>
          <w:tcPr>
            <w:tcW w:w="1062" w:type="dxa"/>
            <w:vAlign w:val="center"/>
          </w:tcPr>
          <w:p w:rsidR="0096409E" w:rsidRPr="00181351" w:rsidRDefault="0096409E" w:rsidP="00B25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351">
              <w:rPr>
                <w:rFonts w:ascii="Times New Roman" w:hAnsi="Times New Roman"/>
                <w:sz w:val="24"/>
                <w:szCs w:val="24"/>
              </w:rPr>
              <w:t>4 323,7</w:t>
            </w:r>
          </w:p>
        </w:tc>
      </w:tr>
    </w:tbl>
    <w:p w:rsidR="000B70CE" w:rsidRPr="00181351" w:rsidRDefault="000B70CE" w:rsidP="00FB4D46">
      <w:pPr>
        <w:rPr>
          <w:rFonts w:ascii="Times New Roman" w:hAnsi="Times New Roman"/>
          <w:sz w:val="28"/>
          <w:szCs w:val="28"/>
        </w:rPr>
      </w:pPr>
    </w:p>
    <w:p w:rsidR="00FB4D46" w:rsidRPr="00181351" w:rsidRDefault="00FB4D46" w:rsidP="00B25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51">
        <w:rPr>
          <w:rFonts w:ascii="Times New Roman" w:hAnsi="Times New Roman"/>
          <w:sz w:val="28"/>
          <w:szCs w:val="28"/>
        </w:rPr>
        <w:t>Россия занимает первое место во внешней торговле Беларуси, а РБ поднялась с 7-го места в 2010 году д</w:t>
      </w:r>
      <w:r w:rsidR="0096409E" w:rsidRPr="00181351">
        <w:rPr>
          <w:rFonts w:ascii="Times New Roman" w:hAnsi="Times New Roman"/>
          <w:sz w:val="28"/>
          <w:szCs w:val="28"/>
        </w:rPr>
        <w:t>о 6-го места в 2015 году в экс</w:t>
      </w:r>
      <w:r w:rsidRPr="00181351">
        <w:rPr>
          <w:rFonts w:ascii="Times New Roman" w:hAnsi="Times New Roman"/>
          <w:sz w:val="28"/>
          <w:szCs w:val="28"/>
        </w:rPr>
        <w:t>порте РФ, с 8-го места на 4-е место в</w:t>
      </w:r>
      <w:r w:rsidR="0096409E" w:rsidRPr="00181351">
        <w:rPr>
          <w:rFonts w:ascii="Times New Roman" w:hAnsi="Times New Roman"/>
          <w:sz w:val="28"/>
          <w:szCs w:val="28"/>
        </w:rPr>
        <w:t xml:space="preserve"> импорте РФ за тот же период. </w:t>
      </w:r>
      <w:r w:rsidRPr="00181351">
        <w:rPr>
          <w:rFonts w:ascii="Times New Roman" w:hAnsi="Times New Roman"/>
          <w:sz w:val="28"/>
          <w:szCs w:val="28"/>
        </w:rPr>
        <w:t>Основные статьи импорта Беларуси из РФ: электроэнергия, нефть и газ, прокат черных металлов (51%), синтетический каучук (73%), зерно (35%). РФ занимает первое место в экспорте РБ (39</w:t>
      </w:r>
      <w:r w:rsidRPr="00514934">
        <w:rPr>
          <w:rFonts w:ascii="Times New Roman" w:hAnsi="Times New Roman"/>
          <w:sz w:val="28"/>
          <w:szCs w:val="28"/>
        </w:rPr>
        <w:t>%)</w:t>
      </w:r>
      <w:r w:rsidR="00242112" w:rsidRPr="00514934">
        <w:rPr>
          <w:rFonts w:ascii="Times New Roman" w:hAnsi="Times New Roman"/>
          <w:sz w:val="28"/>
          <w:szCs w:val="28"/>
        </w:rPr>
        <w:t xml:space="preserve"> </w:t>
      </w:r>
      <w:r w:rsidR="00242112" w:rsidRPr="00AA76E4">
        <w:rPr>
          <w:rFonts w:ascii="Times New Roman" w:hAnsi="Times New Roman"/>
          <w:sz w:val="28"/>
          <w:szCs w:val="28"/>
        </w:rPr>
        <w:t>[</w:t>
      </w:r>
      <w:r w:rsidR="00514934" w:rsidRPr="00514934">
        <w:rPr>
          <w:rFonts w:ascii="Times New Roman" w:hAnsi="Times New Roman"/>
          <w:sz w:val="28"/>
          <w:szCs w:val="28"/>
        </w:rPr>
        <w:t>3; 32</w:t>
      </w:r>
      <w:r w:rsidR="00242112" w:rsidRPr="00AA76E4">
        <w:rPr>
          <w:rFonts w:ascii="Times New Roman" w:hAnsi="Times New Roman"/>
          <w:sz w:val="28"/>
          <w:szCs w:val="28"/>
        </w:rPr>
        <w:t>]</w:t>
      </w:r>
      <w:r w:rsidRPr="00514934">
        <w:rPr>
          <w:rFonts w:ascii="Times New Roman" w:hAnsi="Times New Roman"/>
          <w:sz w:val="28"/>
          <w:szCs w:val="28"/>
        </w:rPr>
        <w:t>.</w:t>
      </w:r>
    </w:p>
    <w:p w:rsidR="0096409E" w:rsidRPr="00181351" w:rsidRDefault="0096409E" w:rsidP="00B25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51">
        <w:rPr>
          <w:rFonts w:ascii="Times New Roman" w:hAnsi="Times New Roman"/>
          <w:sz w:val="28"/>
          <w:szCs w:val="28"/>
        </w:rPr>
        <w:t>Немаловажную роль в товарообороте играют пограничные области между двумя соседствующими странами. Смоленская область, являясь пограничной зоной, на данный момент занимает второе место в Центральной России по торговле со странами ЕАЭС.</w:t>
      </w:r>
    </w:p>
    <w:p w:rsidR="00707DB4" w:rsidRPr="00707DB4" w:rsidRDefault="00707DB4" w:rsidP="00B25F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DB4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Смоленские участники взаимной торговли, которых насчитывается более 2 </w:t>
      </w:r>
      <w:proofErr w:type="spellStart"/>
      <w:proofErr w:type="gramStart"/>
      <w:r w:rsidRPr="00707DB4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proofErr w:type="gramEnd"/>
      <w:r w:rsidRPr="00707DB4">
        <w:rPr>
          <w:rFonts w:ascii="Times New Roman" w:eastAsia="Times New Roman" w:hAnsi="Times New Roman"/>
          <w:sz w:val="28"/>
          <w:szCs w:val="28"/>
          <w:lang w:eastAsia="ru-RU"/>
        </w:rPr>
        <w:t>, за 7 месяцев 2017-го представили в таможню свыше 42 тыс</w:t>
      </w:r>
      <w:r w:rsidR="002421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DB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статистических форм учета перемещения товаров. Внешнеторговый оборот во взаимной торговле со странами Евразийского экономического союза за этот период составил более 950 </w:t>
      </w:r>
      <w:proofErr w:type="gramStart"/>
      <w:r w:rsidRPr="00707DB4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End"/>
      <w:r w:rsidRPr="00707DB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долларов США, грузооборот — более 2,5 млн т.</w:t>
      </w:r>
    </w:p>
    <w:p w:rsidR="00707DB4" w:rsidRPr="00707DB4" w:rsidRDefault="00707DB4" w:rsidP="00653D55">
      <w:pPr>
        <w:spacing w:after="15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D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ввозимые товары: 4 группа товарной номенклатуры внешнеэкономической деятельности ЕАЭС «сыр, творог, яйца», 2 группа «мясо птицы, мясо крупного рогатого скота», 95 группа «детские игрушки», 84 группа «оборудование и части к ним», 39 группа «изделия из пластмасс».</w:t>
      </w:r>
    </w:p>
    <w:p w:rsidR="00707DB4" w:rsidRPr="00181351" w:rsidRDefault="00707DB4" w:rsidP="00B25F88">
      <w:pPr>
        <w:spacing w:after="15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DB4">
        <w:rPr>
          <w:rFonts w:ascii="Times New Roman" w:eastAsia="Times New Roman" w:hAnsi="Times New Roman"/>
          <w:sz w:val="28"/>
          <w:szCs w:val="28"/>
          <w:lang w:eastAsia="ru-RU"/>
        </w:rPr>
        <w:t>Основные товары на вывоз: 85 группа «проводники электрические», 39 группа «строительные детали из пластмасс», 72 группа «прутки из железа», 73 группа «трубы», 84 группа «арматура для трубопровода»</w:t>
      </w:r>
      <w:r w:rsidR="00242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2112" w:rsidRPr="00514934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514934" w:rsidRPr="005149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42112" w:rsidRPr="00514934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5149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7DB4" w:rsidRPr="00181351" w:rsidRDefault="0096409E" w:rsidP="00B25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51">
        <w:rPr>
          <w:rFonts w:ascii="Times New Roman" w:hAnsi="Times New Roman"/>
          <w:sz w:val="28"/>
          <w:szCs w:val="28"/>
        </w:rPr>
        <w:t>Но вместе с положительной динамикой торговых показателей существуют значительные риски в товарообороте</w:t>
      </w:r>
      <w:r w:rsidR="00707DB4" w:rsidRPr="00181351">
        <w:rPr>
          <w:rFonts w:ascii="Times New Roman" w:hAnsi="Times New Roman"/>
          <w:sz w:val="28"/>
          <w:szCs w:val="28"/>
        </w:rPr>
        <w:t xml:space="preserve">, сопровождающие курс на </w:t>
      </w:r>
      <w:proofErr w:type="spellStart"/>
      <w:r w:rsidR="00707DB4" w:rsidRPr="00181351">
        <w:rPr>
          <w:rFonts w:ascii="Times New Roman" w:hAnsi="Times New Roman"/>
          <w:sz w:val="28"/>
          <w:szCs w:val="28"/>
        </w:rPr>
        <w:t>импортозамещение</w:t>
      </w:r>
      <w:proofErr w:type="spellEnd"/>
      <w:r w:rsidR="00707DB4" w:rsidRPr="00181351">
        <w:rPr>
          <w:rFonts w:ascii="Times New Roman" w:hAnsi="Times New Roman"/>
          <w:sz w:val="28"/>
          <w:szCs w:val="28"/>
        </w:rPr>
        <w:t xml:space="preserve"> в РФ, — реэкспорт из РБ запрещенных товаров</w:t>
      </w:r>
      <w:r w:rsidRPr="00181351">
        <w:rPr>
          <w:rFonts w:ascii="Times New Roman" w:hAnsi="Times New Roman"/>
          <w:sz w:val="28"/>
          <w:szCs w:val="28"/>
        </w:rPr>
        <w:t>.</w:t>
      </w:r>
      <w:r w:rsidR="00707DB4" w:rsidRPr="00181351">
        <w:rPr>
          <w:rFonts w:ascii="Times New Roman" w:hAnsi="Times New Roman"/>
          <w:sz w:val="28"/>
          <w:szCs w:val="28"/>
        </w:rPr>
        <w:t xml:space="preserve"> Имеется в виду использование отд</w:t>
      </w:r>
      <w:r w:rsidRPr="00181351">
        <w:rPr>
          <w:rFonts w:ascii="Times New Roman" w:hAnsi="Times New Roman"/>
          <w:sz w:val="28"/>
          <w:szCs w:val="28"/>
        </w:rPr>
        <w:t>ельными предприятиями на терри</w:t>
      </w:r>
      <w:r w:rsidR="00707DB4" w:rsidRPr="00181351">
        <w:rPr>
          <w:rFonts w:ascii="Times New Roman" w:hAnsi="Times New Roman"/>
          <w:sz w:val="28"/>
          <w:szCs w:val="28"/>
        </w:rPr>
        <w:t>тории РБ ситуации с санкциями против РФ</w:t>
      </w:r>
      <w:r w:rsidRPr="00181351">
        <w:rPr>
          <w:rFonts w:ascii="Times New Roman" w:hAnsi="Times New Roman"/>
          <w:sz w:val="28"/>
          <w:szCs w:val="28"/>
        </w:rPr>
        <w:t xml:space="preserve"> в своих интересах в рамках ре</w:t>
      </w:r>
      <w:r w:rsidR="00707DB4" w:rsidRPr="00181351">
        <w:rPr>
          <w:rFonts w:ascii="Times New Roman" w:hAnsi="Times New Roman"/>
          <w:sz w:val="28"/>
          <w:szCs w:val="28"/>
        </w:rPr>
        <w:t>экспорта. После введения санкций против России в 2014 г. и ответных санкций России на импорт товаров ря</w:t>
      </w:r>
      <w:r w:rsidRPr="00181351">
        <w:rPr>
          <w:rFonts w:ascii="Times New Roman" w:hAnsi="Times New Roman"/>
          <w:sz w:val="28"/>
          <w:szCs w:val="28"/>
        </w:rPr>
        <w:t>да западных стран, ряд предпри</w:t>
      </w:r>
      <w:r w:rsidR="00707DB4" w:rsidRPr="00181351">
        <w:rPr>
          <w:rFonts w:ascii="Times New Roman" w:hAnsi="Times New Roman"/>
          <w:sz w:val="28"/>
          <w:szCs w:val="28"/>
        </w:rPr>
        <w:t>ятий в РБ стал активно заниматься продажей этих товаров через свою территорию. Рост реэкспорта наблюд</w:t>
      </w:r>
      <w:r w:rsidRPr="00181351">
        <w:rPr>
          <w:rFonts w:ascii="Times New Roman" w:hAnsi="Times New Roman"/>
          <w:sz w:val="28"/>
          <w:szCs w:val="28"/>
        </w:rPr>
        <w:t xml:space="preserve">ался по таким </w:t>
      </w:r>
      <w:proofErr w:type="spellStart"/>
      <w:r w:rsidRPr="00181351">
        <w:rPr>
          <w:rFonts w:ascii="Times New Roman" w:hAnsi="Times New Roman"/>
          <w:sz w:val="28"/>
          <w:szCs w:val="28"/>
        </w:rPr>
        <w:t>санкционным</w:t>
      </w:r>
      <w:proofErr w:type="spellEnd"/>
      <w:r w:rsidRPr="00181351">
        <w:rPr>
          <w:rFonts w:ascii="Times New Roman" w:hAnsi="Times New Roman"/>
          <w:sz w:val="28"/>
          <w:szCs w:val="28"/>
        </w:rPr>
        <w:t xml:space="preserve"> това</w:t>
      </w:r>
      <w:r w:rsidR="00707DB4" w:rsidRPr="00181351">
        <w:rPr>
          <w:rFonts w:ascii="Times New Roman" w:hAnsi="Times New Roman"/>
          <w:sz w:val="28"/>
          <w:szCs w:val="28"/>
        </w:rPr>
        <w:t>рам, как овощи (+87% за 2014 г.), фрукты (+64%), рыба и морепродукты (+44%) и т. д. Это снижает действенность российского эмбарго против ЕС. Территория Беларуси используется</w:t>
      </w:r>
      <w:r w:rsidRPr="00181351">
        <w:rPr>
          <w:rFonts w:ascii="Times New Roman" w:hAnsi="Times New Roman"/>
          <w:sz w:val="28"/>
          <w:szCs w:val="28"/>
        </w:rPr>
        <w:t xml:space="preserve"> для реэкспорта норвежского ло</w:t>
      </w:r>
      <w:r w:rsidR="00707DB4" w:rsidRPr="00181351">
        <w:rPr>
          <w:rFonts w:ascii="Times New Roman" w:hAnsi="Times New Roman"/>
          <w:sz w:val="28"/>
          <w:szCs w:val="28"/>
        </w:rPr>
        <w:t xml:space="preserve">сося, молока из Польши и Литвы (рост импорта в сотни раз). </w:t>
      </w:r>
    </w:p>
    <w:p w:rsidR="00707DB4" w:rsidRPr="00181351" w:rsidRDefault="000A632E" w:rsidP="00B25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51">
        <w:rPr>
          <w:rFonts w:ascii="Times New Roman" w:hAnsi="Times New Roman"/>
          <w:sz w:val="28"/>
          <w:szCs w:val="28"/>
        </w:rPr>
        <w:t>Данное поведение белорусской стороны вместе с другими ключевыми факторами сыграло критическую рол</w:t>
      </w:r>
      <w:r w:rsidR="00242112">
        <w:rPr>
          <w:rFonts w:ascii="Times New Roman" w:hAnsi="Times New Roman"/>
          <w:sz w:val="28"/>
          <w:szCs w:val="28"/>
        </w:rPr>
        <w:t>ь во взаимоотношениях между РФ и</w:t>
      </w:r>
      <w:r w:rsidRPr="00181351">
        <w:rPr>
          <w:rFonts w:ascii="Times New Roman" w:hAnsi="Times New Roman"/>
          <w:sz w:val="28"/>
          <w:szCs w:val="28"/>
        </w:rPr>
        <w:t xml:space="preserve"> РБ.</w:t>
      </w:r>
    </w:p>
    <w:p w:rsidR="00707DB4" w:rsidRPr="00181351" w:rsidRDefault="00707DB4" w:rsidP="00B25F8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351">
        <w:rPr>
          <w:sz w:val="28"/>
          <w:szCs w:val="28"/>
        </w:rPr>
        <w:t>Кризисы в отношениях двух стран случались и прежде, но впервые клубок противоречий оказался таким сложным и запутанным.</w:t>
      </w:r>
      <w:r w:rsidR="00242112">
        <w:rPr>
          <w:sz w:val="28"/>
          <w:szCs w:val="28"/>
        </w:rPr>
        <w:t xml:space="preserve"> </w:t>
      </w:r>
      <w:r w:rsidR="000A632E" w:rsidRPr="00181351">
        <w:rPr>
          <w:sz w:val="28"/>
          <w:szCs w:val="28"/>
        </w:rPr>
        <w:t>Последними</w:t>
      </w:r>
      <w:r w:rsidRPr="00181351">
        <w:rPr>
          <w:sz w:val="28"/>
          <w:szCs w:val="28"/>
        </w:rPr>
        <w:t xml:space="preserve"> по времени стали разногласия из-за пограничных зон. В начале января в Минске внезапно решили ввести пятидневный безвизовый режим для граждан 80 стран. В перечень, в частности, вошли все государства Евросоюза, а также США, Бразилия и Япония. Граница между Россией и Белоруссией существует формально, ее легко пересечь без проверок, поэтому граждане третьих стран, которым для посещения РФ нужно оформлять визу, получили возможность </w:t>
      </w:r>
      <w:r w:rsidRPr="00181351">
        <w:rPr>
          <w:sz w:val="28"/>
          <w:szCs w:val="28"/>
        </w:rPr>
        <w:lastRenderedPageBreak/>
        <w:t>попасть на российскую территорию без прохождения необходимых бюрократических процедур.</w:t>
      </w:r>
    </w:p>
    <w:p w:rsidR="00707DB4" w:rsidRPr="00181351" w:rsidRDefault="000A632E" w:rsidP="00B25F8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351">
        <w:rPr>
          <w:sz w:val="28"/>
          <w:szCs w:val="28"/>
        </w:rPr>
        <w:t>Данное действие</w:t>
      </w:r>
      <w:r w:rsidR="00707DB4" w:rsidRPr="00181351">
        <w:rPr>
          <w:sz w:val="28"/>
          <w:szCs w:val="28"/>
        </w:rPr>
        <w:t xml:space="preserve"> Москва восприняла это как угрозу безопасности. </w:t>
      </w:r>
      <w:proofErr w:type="gramStart"/>
      <w:r w:rsidR="00707DB4" w:rsidRPr="00181351">
        <w:rPr>
          <w:sz w:val="28"/>
          <w:szCs w:val="28"/>
        </w:rPr>
        <w:t>Директор ФСБ России Александр Бортников </w:t>
      </w:r>
      <w:hyperlink r:id="rId11" w:tgtFrame="_blank" w:history="1">
        <w:r w:rsidR="00707DB4" w:rsidRPr="00242112">
          <w:rPr>
            <w:rStyle w:val="a3"/>
            <w:color w:val="auto"/>
            <w:sz w:val="28"/>
            <w:szCs w:val="28"/>
            <w:u w:val="none"/>
          </w:rPr>
          <w:t>подписал</w:t>
        </w:r>
      </w:hyperlink>
      <w:r w:rsidR="00707DB4" w:rsidRPr="00242112">
        <w:rPr>
          <w:sz w:val="28"/>
          <w:szCs w:val="28"/>
        </w:rPr>
        <w:t> </w:t>
      </w:r>
      <w:r w:rsidR="00707DB4" w:rsidRPr="00181351">
        <w:rPr>
          <w:sz w:val="28"/>
          <w:szCs w:val="28"/>
        </w:rPr>
        <w:t>три приказа о введении вдоль всей российско-белорусской границы в Брянской, Смоленской и Псковской областях режима пограничной зоны.</w:t>
      </w:r>
      <w:proofErr w:type="gramEnd"/>
      <w:r w:rsidR="00707DB4" w:rsidRPr="00181351">
        <w:rPr>
          <w:sz w:val="28"/>
          <w:szCs w:val="28"/>
        </w:rPr>
        <w:t> </w:t>
      </w:r>
      <w:r w:rsidRPr="00181351">
        <w:rPr>
          <w:sz w:val="28"/>
          <w:szCs w:val="28"/>
        </w:rPr>
        <w:t>Подчеркивалось</w:t>
      </w:r>
      <w:r w:rsidR="00707DB4" w:rsidRPr="00181351">
        <w:rPr>
          <w:sz w:val="28"/>
          <w:szCs w:val="28"/>
        </w:rPr>
        <w:t>, что нововведение коснется граждан третьих стран, россияне и белорусы будут пересекать границу, как и прежде — без допол</w:t>
      </w:r>
      <w:r w:rsidR="00984E81">
        <w:rPr>
          <w:sz w:val="28"/>
          <w:szCs w:val="28"/>
        </w:rPr>
        <w:t xml:space="preserve">нительных документов. В Минске </w:t>
      </w:r>
      <w:r w:rsidR="00707DB4" w:rsidRPr="00181351">
        <w:rPr>
          <w:sz w:val="28"/>
          <w:szCs w:val="28"/>
        </w:rPr>
        <w:t xml:space="preserve">отнеслись к решению </w:t>
      </w:r>
      <w:r w:rsidR="00B25F88" w:rsidRPr="00181351">
        <w:rPr>
          <w:sz w:val="28"/>
          <w:szCs w:val="28"/>
        </w:rPr>
        <w:t xml:space="preserve">Александра </w:t>
      </w:r>
      <w:proofErr w:type="spellStart"/>
      <w:r w:rsidR="00707DB4" w:rsidRPr="00181351">
        <w:rPr>
          <w:sz w:val="28"/>
          <w:szCs w:val="28"/>
        </w:rPr>
        <w:t>Бортникова</w:t>
      </w:r>
      <w:proofErr w:type="spellEnd"/>
      <w:r w:rsidR="00707DB4" w:rsidRPr="00181351">
        <w:rPr>
          <w:sz w:val="28"/>
          <w:szCs w:val="28"/>
        </w:rPr>
        <w:t xml:space="preserve"> без понимания и обвинили Москву в том, что пограничные зоны были введены без согласования и предварительных консультаций.</w:t>
      </w:r>
    </w:p>
    <w:p w:rsidR="00707DB4" w:rsidRPr="00181351" w:rsidRDefault="00832CD5" w:rsidP="00B25F8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351">
        <w:rPr>
          <w:sz w:val="28"/>
          <w:szCs w:val="28"/>
        </w:rPr>
        <w:t>На ухудшение торгово-экономических отношений, а также последующее принятие жестких мер с российской стороны, сыграли выявленные нарушения при поставке продукции белорусской стороной. В сентябре 2017 года н</w:t>
      </w:r>
      <w:r w:rsidR="00707DB4" w:rsidRPr="00181351">
        <w:rPr>
          <w:sz w:val="28"/>
          <w:szCs w:val="28"/>
        </w:rPr>
        <w:t>а смоленской границе не пустили более 100 тонн продуктов из Беларуси</w:t>
      </w:r>
      <w:r w:rsidRPr="00181351">
        <w:rPr>
          <w:sz w:val="28"/>
          <w:szCs w:val="28"/>
        </w:rPr>
        <w:t>.</w:t>
      </w:r>
      <w:r w:rsidR="00B25F88" w:rsidRPr="00181351">
        <w:rPr>
          <w:sz w:val="28"/>
          <w:szCs w:val="28"/>
        </w:rPr>
        <w:t xml:space="preserve"> </w:t>
      </w:r>
      <w:r w:rsidR="00707DB4" w:rsidRPr="00181351">
        <w:rPr>
          <w:sz w:val="28"/>
          <w:szCs w:val="28"/>
        </w:rPr>
        <w:t xml:space="preserve">В числе «завернутого» — 20 т </w:t>
      </w:r>
      <w:proofErr w:type="spellStart"/>
      <w:r w:rsidR="00707DB4" w:rsidRPr="00181351">
        <w:rPr>
          <w:sz w:val="28"/>
          <w:szCs w:val="28"/>
        </w:rPr>
        <w:t>сладкосливочного</w:t>
      </w:r>
      <w:proofErr w:type="spellEnd"/>
      <w:r w:rsidR="00707DB4" w:rsidRPr="00181351">
        <w:rPr>
          <w:sz w:val="28"/>
          <w:szCs w:val="28"/>
        </w:rPr>
        <w:t xml:space="preserve"> несоленого масла, </w:t>
      </w:r>
      <w:r w:rsidRPr="00181351">
        <w:rPr>
          <w:sz w:val="28"/>
          <w:szCs w:val="28"/>
        </w:rPr>
        <w:t>произве</w:t>
      </w:r>
      <w:r w:rsidR="00707DB4" w:rsidRPr="00181351">
        <w:rPr>
          <w:sz w:val="28"/>
          <w:szCs w:val="28"/>
        </w:rPr>
        <w:t>денного «</w:t>
      </w:r>
      <w:proofErr w:type="spellStart"/>
      <w:r w:rsidR="00707DB4" w:rsidRPr="00181351">
        <w:rPr>
          <w:sz w:val="28"/>
          <w:szCs w:val="28"/>
        </w:rPr>
        <w:t>Глубокским</w:t>
      </w:r>
      <w:proofErr w:type="spellEnd"/>
      <w:r w:rsidR="00707DB4" w:rsidRPr="00181351">
        <w:rPr>
          <w:sz w:val="28"/>
          <w:szCs w:val="28"/>
        </w:rPr>
        <w:t xml:space="preserve"> </w:t>
      </w:r>
      <w:proofErr w:type="spellStart"/>
      <w:r w:rsidR="00707DB4" w:rsidRPr="00181351">
        <w:rPr>
          <w:sz w:val="28"/>
          <w:szCs w:val="28"/>
        </w:rPr>
        <w:t>молочноконсервным</w:t>
      </w:r>
      <w:proofErr w:type="spellEnd"/>
      <w:r w:rsidR="00707DB4" w:rsidRPr="00181351">
        <w:rPr>
          <w:sz w:val="28"/>
          <w:szCs w:val="28"/>
        </w:rPr>
        <w:t xml:space="preserve"> комбинатом».</w:t>
      </w:r>
      <w:r w:rsidRPr="00181351">
        <w:rPr>
          <w:sz w:val="28"/>
          <w:szCs w:val="28"/>
        </w:rPr>
        <w:t xml:space="preserve"> Конечными грузополучателями должны были стать торговые предприятия города Воронежа.</w:t>
      </w:r>
      <w:r w:rsidR="00707DB4" w:rsidRPr="00181351">
        <w:rPr>
          <w:sz w:val="28"/>
          <w:szCs w:val="28"/>
        </w:rPr>
        <w:t xml:space="preserve"> </w:t>
      </w:r>
      <w:r w:rsidRPr="00181351">
        <w:rPr>
          <w:sz w:val="28"/>
          <w:szCs w:val="28"/>
        </w:rPr>
        <w:t>Таможенными пунктами было выявлено</w:t>
      </w:r>
      <w:r w:rsidR="00707DB4" w:rsidRPr="00181351">
        <w:rPr>
          <w:sz w:val="28"/>
          <w:szCs w:val="28"/>
        </w:rPr>
        <w:t>, что номера 3 партий,</w:t>
      </w:r>
      <w:r w:rsidRPr="00181351">
        <w:rPr>
          <w:sz w:val="28"/>
          <w:szCs w:val="28"/>
        </w:rPr>
        <w:t xml:space="preserve"> </w:t>
      </w:r>
      <w:r w:rsidR="00707DB4" w:rsidRPr="00181351">
        <w:rPr>
          <w:sz w:val="28"/>
          <w:szCs w:val="28"/>
        </w:rPr>
        <w:t>указанные на маркировочных этикетках, отсутствовали в предоставленном удостоверении качества и безопасности продовольственного сырья и пищевых продуктов.</w:t>
      </w:r>
    </w:p>
    <w:p w:rsidR="00707DB4" w:rsidRPr="00181351" w:rsidRDefault="00707DB4" w:rsidP="00B25F8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351">
        <w:rPr>
          <w:sz w:val="28"/>
          <w:szCs w:val="28"/>
        </w:rPr>
        <w:t>Кроме того, 19 т замороженной говядины в полутушах от «</w:t>
      </w:r>
      <w:proofErr w:type="spellStart"/>
      <w:r w:rsidRPr="00181351">
        <w:rPr>
          <w:sz w:val="28"/>
          <w:szCs w:val="28"/>
        </w:rPr>
        <w:t>Бобруйского</w:t>
      </w:r>
      <w:proofErr w:type="spellEnd"/>
      <w:r w:rsidRPr="00181351">
        <w:rPr>
          <w:sz w:val="28"/>
          <w:szCs w:val="28"/>
        </w:rPr>
        <w:t xml:space="preserve"> мясокомбината», перевозимых в Самару, находились в неудовлетворительном ветеринарно-санитарном состоянии. И такого же веса партию замороженных говяжьих субпродуктов, мясных блоков из соединительной ткани и хрящей от </w:t>
      </w:r>
      <w:proofErr w:type="spellStart"/>
      <w:r w:rsidRPr="00181351">
        <w:rPr>
          <w:sz w:val="28"/>
          <w:szCs w:val="28"/>
        </w:rPr>
        <w:t>жиловки</w:t>
      </w:r>
      <w:proofErr w:type="spellEnd"/>
      <w:r w:rsidRPr="00181351">
        <w:rPr>
          <w:sz w:val="28"/>
          <w:szCs w:val="28"/>
        </w:rPr>
        <w:t xml:space="preserve"> мяса производства ОАО «</w:t>
      </w:r>
      <w:proofErr w:type="spellStart"/>
      <w:r w:rsidRPr="00181351">
        <w:rPr>
          <w:sz w:val="28"/>
          <w:szCs w:val="28"/>
        </w:rPr>
        <w:t>Глубокский</w:t>
      </w:r>
      <w:proofErr w:type="spellEnd"/>
      <w:r w:rsidRPr="00181351">
        <w:rPr>
          <w:sz w:val="28"/>
          <w:szCs w:val="28"/>
        </w:rPr>
        <w:t xml:space="preserve"> мясокомбинат» не указали в ветеринарных сертификатах, выданных </w:t>
      </w:r>
      <w:proofErr w:type="spellStart"/>
      <w:r w:rsidRPr="00181351">
        <w:rPr>
          <w:sz w:val="28"/>
          <w:szCs w:val="28"/>
        </w:rPr>
        <w:t>госветслужбой</w:t>
      </w:r>
      <w:proofErr w:type="spellEnd"/>
      <w:r w:rsidRPr="00181351">
        <w:rPr>
          <w:sz w:val="28"/>
          <w:szCs w:val="28"/>
        </w:rPr>
        <w:t xml:space="preserve"> Беларуси.</w:t>
      </w:r>
    </w:p>
    <w:p w:rsidR="00707DB4" w:rsidRPr="00181351" w:rsidRDefault="00707DB4" w:rsidP="00653D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351">
        <w:rPr>
          <w:sz w:val="28"/>
          <w:szCs w:val="28"/>
        </w:rPr>
        <w:t>Больше 8 т мясных консервов для детского питания от ООО «</w:t>
      </w:r>
      <w:proofErr w:type="spellStart"/>
      <w:r w:rsidRPr="00181351">
        <w:rPr>
          <w:sz w:val="28"/>
          <w:szCs w:val="28"/>
        </w:rPr>
        <w:t>Белфуд</w:t>
      </w:r>
      <w:proofErr w:type="spellEnd"/>
      <w:r w:rsidRPr="00181351">
        <w:rPr>
          <w:sz w:val="28"/>
          <w:szCs w:val="28"/>
        </w:rPr>
        <w:t xml:space="preserve"> </w:t>
      </w:r>
      <w:proofErr w:type="spellStart"/>
      <w:r w:rsidRPr="00181351">
        <w:rPr>
          <w:sz w:val="28"/>
          <w:szCs w:val="28"/>
        </w:rPr>
        <w:t>продакшн</w:t>
      </w:r>
      <w:proofErr w:type="spellEnd"/>
      <w:r w:rsidRPr="00181351">
        <w:rPr>
          <w:sz w:val="28"/>
          <w:szCs w:val="28"/>
        </w:rPr>
        <w:t xml:space="preserve">» не прошли необходимого подтверждения микробиологической </w:t>
      </w:r>
      <w:r w:rsidRPr="00181351">
        <w:rPr>
          <w:sz w:val="28"/>
          <w:szCs w:val="28"/>
        </w:rPr>
        <w:lastRenderedPageBreak/>
        <w:t>стабильности на складе производителя в течение 21 дня (дата выработки продукции 28 августа — 2 сентября). Кроме того, на маркировочной этикетке не указали наименование предприятия-изготовителя, а только адрес; в качественных удостоверениях и свидетельствах о регистрации изготовителем значилось СООО</w:t>
      </w:r>
      <w:r w:rsidR="00984E81">
        <w:rPr>
          <w:sz w:val="28"/>
          <w:szCs w:val="28"/>
        </w:rPr>
        <w:t xml:space="preserve"> </w:t>
      </w:r>
      <w:r w:rsidRPr="00181351">
        <w:rPr>
          <w:sz w:val="28"/>
          <w:szCs w:val="28"/>
        </w:rPr>
        <w:t xml:space="preserve">«Оазис </w:t>
      </w:r>
      <w:proofErr w:type="spellStart"/>
      <w:r w:rsidRPr="00181351">
        <w:rPr>
          <w:sz w:val="28"/>
          <w:szCs w:val="28"/>
        </w:rPr>
        <w:t>дистрибьюшн</w:t>
      </w:r>
      <w:proofErr w:type="spellEnd"/>
      <w:r w:rsidRPr="00181351">
        <w:rPr>
          <w:sz w:val="28"/>
          <w:szCs w:val="28"/>
        </w:rPr>
        <w:t xml:space="preserve">». В </w:t>
      </w:r>
      <w:proofErr w:type="spellStart"/>
      <w:r w:rsidRPr="00181351">
        <w:rPr>
          <w:sz w:val="28"/>
          <w:szCs w:val="28"/>
        </w:rPr>
        <w:t>ветсертификате</w:t>
      </w:r>
      <w:proofErr w:type="spellEnd"/>
      <w:r w:rsidRPr="00181351">
        <w:rPr>
          <w:sz w:val="28"/>
          <w:szCs w:val="28"/>
        </w:rPr>
        <w:t xml:space="preserve"> не указали пу</w:t>
      </w:r>
      <w:r w:rsidR="00653D55" w:rsidRPr="00181351">
        <w:rPr>
          <w:sz w:val="28"/>
          <w:szCs w:val="28"/>
        </w:rPr>
        <w:t>нкт перехода границы с Россией.</w:t>
      </w:r>
    </w:p>
    <w:p w:rsidR="00707DB4" w:rsidRPr="00181351" w:rsidRDefault="00707DB4" w:rsidP="00653D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81351">
        <w:rPr>
          <w:sz w:val="28"/>
          <w:szCs w:val="28"/>
        </w:rPr>
        <w:t xml:space="preserve">Поддельный штамп регионального управления </w:t>
      </w:r>
      <w:proofErr w:type="spellStart"/>
      <w:r w:rsidRPr="00181351">
        <w:rPr>
          <w:sz w:val="28"/>
          <w:szCs w:val="28"/>
        </w:rPr>
        <w:t>Россельхознадзора</w:t>
      </w:r>
      <w:proofErr w:type="spellEnd"/>
      <w:r w:rsidRPr="00181351">
        <w:rPr>
          <w:sz w:val="28"/>
          <w:szCs w:val="28"/>
        </w:rPr>
        <w:t xml:space="preserve"> по Брянской и Смоленской областям «Груз учтен», а также временные ограничения на поставки продукции стали основанием для запрета ввоза 2 партий сухого молока общим весом 40 тонн, произведенного «С</w:t>
      </w:r>
      <w:r w:rsidR="00653D55" w:rsidRPr="00181351">
        <w:rPr>
          <w:sz w:val="28"/>
          <w:szCs w:val="28"/>
        </w:rPr>
        <w:t>луцким сыродельным комбинатом».</w:t>
      </w:r>
      <w:proofErr w:type="gramEnd"/>
    </w:p>
    <w:p w:rsidR="00707DB4" w:rsidRPr="00181351" w:rsidRDefault="00832CD5" w:rsidP="00653D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351">
        <w:rPr>
          <w:sz w:val="28"/>
          <w:szCs w:val="28"/>
        </w:rPr>
        <w:t>Вследствие данного инцидента</w:t>
      </w:r>
      <w:r w:rsidR="00707DB4" w:rsidRPr="00181351">
        <w:rPr>
          <w:sz w:val="28"/>
          <w:szCs w:val="28"/>
        </w:rPr>
        <w:t xml:space="preserve"> региональное управление федеральной службы сообщило: по результатам государственного лабораторного мониторинга, в том числе в пункте предварительного уведомления «Красная Горка» на Смоленщине, выявили партии сыра, молока сухого, сухой </w:t>
      </w:r>
      <w:proofErr w:type="spellStart"/>
      <w:r w:rsidR="00707DB4" w:rsidRPr="00181351">
        <w:rPr>
          <w:sz w:val="28"/>
          <w:szCs w:val="28"/>
        </w:rPr>
        <w:t>подсырной</w:t>
      </w:r>
      <w:proofErr w:type="spellEnd"/>
      <w:r w:rsidR="00707DB4" w:rsidRPr="00181351">
        <w:rPr>
          <w:sz w:val="28"/>
          <w:szCs w:val="28"/>
        </w:rPr>
        <w:t xml:space="preserve"> сыворотки, готовой мясной продукции, мясных консервов, которые не соответствовали требованиям технических регламентов Таможенного союза.</w:t>
      </w:r>
    </w:p>
    <w:p w:rsidR="00707DB4" w:rsidRPr="00181351" w:rsidRDefault="00707DB4" w:rsidP="00653D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351">
        <w:rPr>
          <w:sz w:val="28"/>
          <w:szCs w:val="28"/>
        </w:rPr>
        <w:t xml:space="preserve">Для принятия мер по исправлению ситуации производителей уведомили о результатах. Но продолжившиеся мониторинговые исследования показали: далеко не все предприятия Беларуси предприняли необходимые действия. </w:t>
      </w:r>
      <w:proofErr w:type="gramStart"/>
      <w:r w:rsidRPr="00181351">
        <w:rPr>
          <w:sz w:val="28"/>
          <w:szCs w:val="28"/>
        </w:rPr>
        <w:t>Поэтому надзорный орган по нормам технических регламентов ТС направил материалы проверки в республиканские Федеральную службу по аккредитации и Госкомитет по стандартизации.</w:t>
      </w:r>
      <w:proofErr w:type="gramEnd"/>
    </w:p>
    <w:p w:rsidR="00707DB4" w:rsidRPr="00181351" w:rsidRDefault="00707DB4" w:rsidP="00653D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351">
        <w:rPr>
          <w:sz w:val="28"/>
          <w:szCs w:val="28"/>
        </w:rPr>
        <w:t xml:space="preserve">В результате </w:t>
      </w:r>
      <w:proofErr w:type="spellStart"/>
      <w:r w:rsidRPr="00181351">
        <w:rPr>
          <w:sz w:val="28"/>
          <w:szCs w:val="28"/>
        </w:rPr>
        <w:t>федслужба</w:t>
      </w:r>
      <w:proofErr w:type="spellEnd"/>
      <w:r w:rsidRPr="00181351">
        <w:rPr>
          <w:sz w:val="28"/>
          <w:szCs w:val="28"/>
        </w:rPr>
        <w:t xml:space="preserve"> прекратила действие 31 декларации о соответствии. В частности,</w:t>
      </w:r>
      <w:r w:rsidR="00984E81">
        <w:rPr>
          <w:sz w:val="28"/>
          <w:szCs w:val="28"/>
        </w:rPr>
        <w:t xml:space="preserve"> </w:t>
      </w:r>
      <w:r w:rsidRPr="00181351">
        <w:rPr>
          <w:sz w:val="28"/>
          <w:szCs w:val="28"/>
        </w:rPr>
        <w:t xml:space="preserve">подобные решения приняли в отношении отдельных видов продукции производства филиала ОАО «Рогачевский </w:t>
      </w:r>
      <w:proofErr w:type="spellStart"/>
      <w:r w:rsidRPr="00181351">
        <w:rPr>
          <w:sz w:val="28"/>
          <w:szCs w:val="28"/>
        </w:rPr>
        <w:t>молочноконсервный</w:t>
      </w:r>
      <w:proofErr w:type="spellEnd"/>
      <w:r w:rsidRPr="00181351">
        <w:rPr>
          <w:sz w:val="28"/>
          <w:szCs w:val="28"/>
        </w:rPr>
        <w:t xml:space="preserve"> комбинат» по производству сыров, «</w:t>
      </w:r>
      <w:proofErr w:type="spellStart"/>
      <w:r w:rsidRPr="00181351">
        <w:rPr>
          <w:sz w:val="28"/>
          <w:szCs w:val="28"/>
        </w:rPr>
        <w:t>Ошмянский</w:t>
      </w:r>
      <w:proofErr w:type="spellEnd"/>
      <w:r w:rsidRPr="00181351">
        <w:rPr>
          <w:sz w:val="28"/>
          <w:szCs w:val="28"/>
        </w:rPr>
        <w:t xml:space="preserve"> сыродельный завод», филиала ОАО «Лидский молочно-консервный комбинат», </w:t>
      </w:r>
      <w:proofErr w:type="spellStart"/>
      <w:r w:rsidRPr="00181351">
        <w:rPr>
          <w:sz w:val="28"/>
          <w:szCs w:val="28"/>
        </w:rPr>
        <w:t>ОАО</w:t>
      </w:r>
      <w:proofErr w:type="gramStart"/>
      <w:r w:rsidRPr="00181351">
        <w:rPr>
          <w:sz w:val="28"/>
          <w:szCs w:val="28"/>
        </w:rPr>
        <w:t>«М</w:t>
      </w:r>
      <w:proofErr w:type="gramEnd"/>
      <w:r w:rsidRPr="00181351">
        <w:rPr>
          <w:sz w:val="28"/>
          <w:szCs w:val="28"/>
        </w:rPr>
        <w:t>олодечненский</w:t>
      </w:r>
      <w:proofErr w:type="spellEnd"/>
      <w:r w:rsidRPr="00181351">
        <w:rPr>
          <w:sz w:val="28"/>
          <w:szCs w:val="28"/>
        </w:rPr>
        <w:t xml:space="preserve"> молочный комбинат», </w:t>
      </w:r>
      <w:proofErr w:type="spellStart"/>
      <w:r w:rsidRPr="00181351">
        <w:rPr>
          <w:sz w:val="28"/>
          <w:szCs w:val="28"/>
        </w:rPr>
        <w:t>Нарочанского</w:t>
      </w:r>
      <w:proofErr w:type="spellEnd"/>
      <w:r w:rsidRPr="00181351">
        <w:rPr>
          <w:sz w:val="28"/>
          <w:szCs w:val="28"/>
        </w:rPr>
        <w:t xml:space="preserve"> филиала ОАО «</w:t>
      </w:r>
      <w:proofErr w:type="spellStart"/>
      <w:r w:rsidRPr="00181351">
        <w:rPr>
          <w:sz w:val="28"/>
          <w:szCs w:val="28"/>
        </w:rPr>
        <w:t>Молодечненский</w:t>
      </w:r>
      <w:proofErr w:type="spellEnd"/>
      <w:r w:rsidRPr="00181351">
        <w:rPr>
          <w:sz w:val="28"/>
          <w:szCs w:val="28"/>
        </w:rPr>
        <w:t xml:space="preserve"> молочный комбинат», </w:t>
      </w:r>
      <w:proofErr w:type="spellStart"/>
      <w:r w:rsidRPr="00181351">
        <w:rPr>
          <w:sz w:val="28"/>
          <w:szCs w:val="28"/>
        </w:rPr>
        <w:t>Браславского</w:t>
      </w:r>
      <w:proofErr w:type="spellEnd"/>
      <w:r w:rsidRPr="00181351">
        <w:rPr>
          <w:sz w:val="28"/>
          <w:szCs w:val="28"/>
        </w:rPr>
        <w:t xml:space="preserve"> филиала ОАО </w:t>
      </w:r>
      <w:r w:rsidRPr="00181351">
        <w:rPr>
          <w:sz w:val="28"/>
          <w:szCs w:val="28"/>
        </w:rPr>
        <w:lastRenderedPageBreak/>
        <w:t>«</w:t>
      </w:r>
      <w:proofErr w:type="spellStart"/>
      <w:r w:rsidRPr="00181351">
        <w:rPr>
          <w:sz w:val="28"/>
          <w:szCs w:val="28"/>
        </w:rPr>
        <w:t>Глубокский</w:t>
      </w:r>
      <w:proofErr w:type="spellEnd"/>
      <w:r w:rsidRPr="00181351">
        <w:rPr>
          <w:sz w:val="28"/>
          <w:szCs w:val="28"/>
        </w:rPr>
        <w:t xml:space="preserve"> </w:t>
      </w:r>
      <w:proofErr w:type="spellStart"/>
      <w:r w:rsidRPr="00181351">
        <w:rPr>
          <w:sz w:val="28"/>
          <w:szCs w:val="28"/>
        </w:rPr>
        <w:t>молочноконсервный</w:t>
      </w:r>
      <w:proofErr w:type="spellEnd"/>
      <w:r w:rsidRPr="00181351">
        <w:rPr>
          <w:sz w:val="28"/>
          <w:szCs w:val="28"/>
        </w:rPr>
        <w:t xml:space="preserve"> комбинат», </w:t>
      </w:r>
      <w:proofErr w:type="spellStart"/>
      <w:r w:rsidRPr="00181351">
        <w:rPr>
          <w:sz w:val="28"/>
          <w:szCs w:val="28"/>
        </w:rPr>
        <w:t>ОАО«Молочный</w:t>
      </w:r>
      <w:proofErr w:type="spellEnd"/>
      <w:r w:rsidRPr="00181351">
        <w:rPr>
          <w:sz w:val="28"/>
          <w:szCs w:val="28"/>
        </w:rPr>
        <w:t xml:space="preserve"> Мир», ОАО «Молочная компания </w:t>
      </w:r>
      <w:proofErr w:type="spellStart"/>
      <w:r w:rsidRPr="00181351">
        <w:rPr>
          <w:sz w:val="28"/>
          <w:szCs w:val="28"/>
        </w:rPr>
        <w:t>Новогрудские</w:t>
      </w:r>
      <w:proofErr w:type="spellEnd"/>
      <w:r w:rsidRPr="00181351">
        <w:rPr>
          <w:sz w:val="28"/>
          <w:szCs w:val="28"/>
        </w:rPr>
        <w:t xml:space="preserve"> Дары», ОАО «</w:t>
      </w:r>
      <w:proofErr w:type="spellStart"/>
      <w:r w:rsidRPr="00181351">
        <w:rPr>
          <w:sz w:val="28"/>
          <w:szCs w:val="28"/>
        </w:rPr>
        <w:t>Верхнедвинский</w:t>
      </w:r>
      <w:proofErr w:type="spellEnd"/>
      <w:r w:rsidRPr="00181351">
        <w:rPr>
          <w:sz w:val="28"/>
          <w:szCs w:val="28"/>
        </w:rPr>
        <w:t xml:space="preserve"> </w:t>
      </w:r>
      <w:proofErr w:type="spellStart"/>
      <w:r w:rsidRPr="00181351">
        <w:rPr>
          <w:sz w:val="28"/>
          <w:szCs w:val="28"/>
        </w:rPr>
        <w:t>маслосырзавод</w:t>
      </w:r>
      <w:proofErr w:type="spellEnd"/>
      <w:r w:rsidRPr="00181351">
        <w:rPr>
          <w:sz w:val="28"/>
          <w:szCs w:val="28"/>
        </w:rPr>
        <w:t xml:space="preserve">», ПУП «Молочный полюс», ОАО «Слуцкий сыродельный комбинат», </w:t>
      </w:r>
      <w:proofErr w:type="spellStart"/>
      <w:r w:rsidRPr="00181351">
        <w:rPr>
          <w:sz w:val="28"/>
          <w:szCs w:val="28"/>
        </w:rPr>
        <w:t>ОАО</w:t>
      </w:r>
      <w:proofErr w:type="gramStart"/>
      <w:r w:rsidRPr="00181351">
        <w:rPr>
          <w:sz w:val="28"/>
          <w:szCs w:val="28"/>
        </w:rPr>
        <w:t>«Л</w:t>
      </w:r>
      <w:proofErr w:type="gramEnd"/>
      <w:r w:rsidRPr="00181351">
        <w:rPr>
          <w:sz w:val="28"/>
          <w:szCs w:val="28"/>
        </w:rPr>
        <w:t>епельский</w:t>
      </w:r>
      <w:proofErr w:type="spellEnd"/>
      <w:r w:rsidRPr="00181351">
        <w:rPr>
          <w:sz w:val="28"/>
          <w:szCs w:val="28"/>
        </w:rPr>
        <w:t xml:space="preserve"> </w:t>
      </w:r>
      <w:proofErr w:type="spellStart"/>
      <w:r w:rsidRPr="00181351">
        <w:rPr>
          <w:sz w:val="28"/>
          <w:szCs w:val="28"/>
        </w:rPr>
        <w:t>молочноконсервный</w:t>
      </w:r>
      <w:proofErr w:type="spellEnd"/>
      <w:r w:rsidRPr="00181351">
        <w:rPr>
          <w:sz w:val="28"/>
          <w:szCs w:val="28"/>
        </w:rPr>
        <w:t xml:space="preserve"> комбинат», КПУП «</w:t>
      </w:r>
      <w:proofErr w:type="spellStart"/>
      <w:r w:rsidRPr="00181351">
        <w:rPr>
          <w:sz w:val="28"/>
          <w:szCs w:val="28"/>
        </w:rPr>
        <w:t>Мозырские</w:t>
      </w:r>
      <w:proofErr w:type="spellEnd"/>
      <w:r w:rsidRPr="00181351">
        <w:rPr>
          <w:sz w:val="28"/>
          <w:szCs w:val="28"/>
        </w:rPr>
        <w:t xml:space="preserve"> молочные продукты», </w:t>
      </w:r>
      <w:proofErr w:type="spellStart"/>
      <w:r w:rsidRPr="00181351">
        <w:rPr>
          <w:sz w:val="28"/>
          <w:szCs w:val="28"/>
        </w:rPr>
        <w:t>ОАО«Пружанский</w:t>
      </w:r>
      <w:proofErr w:type="spellEnd"/>
      <w:r w:rsidRPr="00181351">
        <w:rPr>
          <w:sz w:val="28"/>
          <w:szCs w:val="28"/>
        </w:rPr>
        <w:t xml:space="preserve"> молочный комбинат», ОАО «</w:t>
      </w:r>
      <w:proofErr w:type="spellStart"/>
      <w:r w:rsidRPr="00181351">
        <w:rPr>
          <w:sz w:val="28"/>
          <w:szCs w:val="28"/>
        </w:rPr>
        <w:t>Барановичский</w:t>
      </w:r>
      <w:proofErr w:type="spellEnd"/>
      <w:r w:rsidRPr="00181351">
        <w:rPr>
          <w:sz w:val="28"/>
          <w:szCs w:val="28"/>
        </w:rPr>
        <w:t xml:space="preserve"> молочный комбинат», ОАО «</w:t>
      </w:r>
      <w:proofErr w:type="spellStart"/>
      <w:r w:rsidRPr="00181351">
        <w:rPr>
          <w:sz w:val="28"/>
          <w:szCs w:val="28"/>
        </w:rPr>
        <w:t>Дятловский</w:t>
      </w:r>
      <w:proofErr w:type="spellEnd"/>
      <w:r w:rsidRPr="00181351">
        <w:rPr>
          <w:sz w:val="28"/>
          <w:szCs w:val="28"/>
        </w:rPr>
        <w:t xml:space="preserve"> сыродельный завод», </w:t>
      </w:r>
      <w:proofErr w:type="spellStart"/>
      <w:r w:rsidRPr="00181351">
        <w:rPr>
          <w:sz w:val="28"/>
          <w:szCs w:val="28"/>
        </w:rPr>
        <w:t>Копыльского</w:t>
      </w:r>
      <w:proofErr w:type="spellEnd"/>
      <w:r w:rsidRPr="00181351">
        <w:rPr>
          <w:sz w:val="28"/>
          <w:szCs w:val="28"/>
        </w:rPr>
        <w:t xml:space="preserve"> филиала ОАО «Слуцкий сыродельный комбинат».</w:t>
      </w:r>
    </w:p>
    <w:p w:rsidR="00707DB4" w:rsidRPr="00181351" w:rsidRDefault="00707DB4" w:rsidP="00984E8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351">
        <w:rPr>
          <w:sz w:val="28"/>
          <w:szCs w:val="28"/>
        </w:rPr>
        <w:t xml:space="preserve">Помимо этого, белорусский госкомитет по стандартизации прекратил действие 19 деклараций о соответствии на продукцию производства: </w:t>
      </w:r>
      <w:proofErr w:type="spellStart"/>
      <w:r w:rsidRPr="00181351">
        <w:rPr>
          <w:sz w:val="28"/>
          <w:szCs w:val="28"/>
        </w:rPr>
        <w:t>Воложинского</w:t>
      </w:r>
      <w:proofErr w:type="spellEnd"/>
      <w:r w:rsidRPr="00181351">
        <w:rPr>
          <w:sz w:val="28"/>
          <w:szCs w:val="28"/>
        </w:rPr>
        <w:t xml:space="preserve"> филиала ОАО «</w:t>
      </w:r>
      <w:proofErr w:type="spellStart"/>
      <w:r w:rsidRPr="00181351">
        <w:rPr>
          <w:sz w:val="28"/>
          <w:szCs w:val="28"/>
        </w:rPr>
        <w:t>Молодечненский</w:t>
      </w:r>
      <w:proofErr w:type="spellEnd"/>
      <w:r w:rsidRPr="00181351">
        <w:rPr>
          <w:sz w:val="28"/>
          <w:szCs w:val="28"/>
        </w:rPr>
        <w:t xml:space="preserve"> молочный комбинат», филиала «</w:t>
      </w:r>
      <w:proofErr w:type="spellStart"/>
      <w:r w:rsidRPr="00181351">
        <w:rPr>
          <w:sz w:val="28"/>
          <w:szCs w:val="28"/>
        </w:rPr>
        <w:t>Славгородский</w:t>
      </w:r>
      <w:proofErr w:type="spellEnd"/>
      <w:r w:rsidRPr="00181351">
        <w:rPr>
          <w:sz w:val="28"/>
          <w:szCs w:val="28"/>
        </w:rPr>
        <w:t>» ОАО «Бабушкина крынка» управляющей компании холдинга «Могилевская молочная компания «Бабушкина крынка», ОАО «</w:t>
      </w:r>
      <w:proofErr w:type="spellStart"/>
      <w:r w:rsidRPr="00181351">
        <w:rPr>
          <w:sz w:val="28"/>
          <w:szCs w:val="28"/>
        </w:rPr>
        <w:t>Пружанский</w:t>
      </w:r>
      <w:proofErr w:type="spellEnd"/>
      <w:r w:rsidRPr="00181351">
        <w:rPr>
          <w:sz w:val="28"/>
          <w:szCs w:val="28"/>
        </w:rPr>
        <w:t xml:space="preserve"> молочный комбинат», ОАО «Молочный Мир», ОАО «Беловежские сыры», </w:t>
      </w:r>
      <w:proofErr w:type="spellStart"/>
      <w:r w:rsidRPr="00181351">
        <w:rPr>
          <w:sz w:val="28"/>
          <w:szCs w:val="28"/>
        </w:rPr>
        <w:t>Любанского</w:t>
      </w:r>
      <w:proofErr w:type="spellEnd"/>
      <w:r w:rsidRPr="00181351">
        <w:rPr>
          <w:sz w:val="28"/>
          <w:szCs w:val="28"/>
        </w:rPr>
        <w:t xml:space="preserve"> филиала ОАО «Слуцкий сыродельный комбинат», СООО «КВИНФУД», ОАО «Гомельский мясокомбинат», </w:t>
      </w:r>
      <w:proofErr w:type="gramStart"/>
      <w:r w:rsidRPr="00181351">
        <w:rPr>
          <w:sz w:val="28"/>
          <w:szCs w:val="28"/>
        </w:rPr>
        <w:t>C</w:t>
      </w:r>
      <w:proofErr w:type="gramEnd"/>
      <w:r w:rsidRPr="00181351">
        <w:rPr>
          <w:sz w:val="28"/>
          <w:szCs w:val="28"/>
        </w:rPr>
        <w:t>ООО «</w:t>
      </w:r>
      <w:proofErr w:type="spellStart"/>
      <w:r w:rsidRPr="00181351">
        <w:rPr>
          <w:sz w:val="28"/>
          <w:szCs w:val="28"/>
        </w:rPr>
        <w:t>Морозпродукт</w:t>
      </w:r>
      <w:proofErr w:type="spellEnd"/>
      <w:r w:rsidRPr="00181351">
        <w:rPr>
          <w:sz w:val="28"/>
          <w:szCs w:val="28"/>
        </w:rPr>
        <w:t xml:space="preserve">», </w:t>
      </w:r>
      <w:proofErr w:type="spellStart"/>
      <w:r w:rsidRPr="00181351">
        <w:rPr>
          <w:sz w:val="28"/>
          <w:szCs w:val="28"/>
        </w:rPr>
        <w:t>Воложинского</w:t>
      </w:r>
      <w:proofErr w:type="spellEnd"/>
      <w:r w:rsidRPr="00181351">
        <w:rPr>
          <w:sz w:val="28"/>
          <w:szCs w:val="28"/>
        </w:rPr>
        <w:t xml:space="preserve"> филиала ОАО «</w:t>
      </w:r>
      <w:proofErr w:type="spellStart"/>
      <w:r w:rsidRPr="00181351">
        <w:rPr>
          <w:sz w:val="28"/>
          <w:szCs w:val="28"/>
        </w:rPr>
        <w:t>Молодечненский</w:t>
      </w:r>
      <w:proofErr w:type="spellEnd"/>
      <w:r w:rsidR="00984E81">
        <w:rPr>
          <w:sz w:val="28"/>
          <w:szCs w:val="28"/>
        </w:rPr>
        <w:t xml:space="preserve"> молочный комбинат» и </w:t>
      </w:r>
      <w:proofErr w:type="spellStart"/>
      <w:r w:rsidR="00984E81">
        <w:rPr>
          <w:sz w:val="28"/>
          <w:szCs w:val="28"/>
        </w:rPr>
        <w:t>КфХ</w:t>
      </w:r>
      <w:proofErr w:type="spellEnd"/>
      <w:r w:rsidR="00984E81">
        <w:rPr>
          <w:sz w:val="28"/>
          <w:szCs w:val="28"/>
        </w:rPr>
        <w:t xml:space="preserve"> «ДАК»</w:t>
      </w:r>
      <w:r w:rsidR="00493444">
        <w:rPr>
          <w:sz w:val="28"/>
          <w:szCs w:val="28"/>
        </w:rPr>
        <w:t xml:space="preserve"> </w:t>
      </w:r>
      <w:r w:rsidR="00493444" w:rsidRPr="00493444">
        <w:rPr>
          <w:sz w:val="28"/>
          <w:szCs w:val="28"/>
        </w:rPr>
        <w:t>[</w:t>
      </w:r>
      <w:r w:rsidR="00493444">
        <w:rPr>
          <w:sz w:val="28"/>
          <w:szCs w:val="28"/>
        </w:rPr>
        <w:t>4</w:t>
      </w:r>
      <w:r w:rsidR="00493444" w:rsidRPr="00493444">
        <w:rPr>
          <w:sz w:val="28"/>
          <w:szCs w:val="28"/>
        </w:rPr>
        <w:t>]</w:t>
      </w:r>
      <w:r w:rsidR="00832CD5" w:rsidRPr="00181351">
        <w:rPr>
          <w:sz w:val="28"/>
          <w:szCs w:val="28"/>
        </w:rPr>
        <w:t>.</w:t>
      </w:r>
    </w:p>
    <w:p w:rsidR="00707DB4" w:rsidRPr="00181351" w:rsidRDefault="00832CD5" w:rsidP="00653D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351">
        <w:rPr>
          <w:sz w:val="28"/>
          <w:szCs w:val="28"/>
        </w:rPr>
        <w:t>Помимо торгово-экономических отношений существуют другие стороны конфликта, в частности,</w:t>
      </w:r>
      <w:r w:rsidR="00707DB4" w:rsidRPr="00181351">
        <w:rPr>
          <w:sz w:val="28"/>
          <w:szCs w:val="28"/>
        </w:rPr>
        <w:t xml:space="preserve"> застарелый спор — о ценах на энергоносители. Россия </w:t>
      </w:r>
      <w:hyperlink r:id="rId12" w:tgtFrame="_blank" w:history="1">
        <w:r w:rsidR="00707DB4" w:rsidRPr="00D36E25">
          <w:rPr>
            <w:rStyle w:val="a3"/>
            <w:color w:val="auto"/>
            <w:sz w:val="28"/>
            <w:szCs w:val="28"/>
            <w:u w:val="none"/>
          </w:rPr>
          <w:t>объявила</w:t>
        </w:r>
      </w:hyperlink>
      <w:r w:rsidR="00707DB4" w:rsidRPr="00181351">
        <w:rPr>
          <w:sz w:val="28"/>
          <w:szCs w:val="28"/>
        </w:rPr>
        <w:t> о намерении сокра</w:t>
      </w:r>
      <w:r w:rsidR="00D36E25">
        <w:rPr>
          <w:sz w:val="28"/>
          <w:szCs w:val="28"/>
        </w:rPr>
        <w:t>тить поставки нефти в Бел</w:t>
      </w:r>
      <w:r w:rsidR="00984E81">
        <w:rPr>
          <w:sz w:val="28"/>
          <w:szCs w:val="28"/>
        </w:rPr>
        <w:t>арусь</w:t>
      </w:r>
      <w:r w:rsidR="00707DB4" w:rsidRPr="00181351">
        <w:rPr>
          <w:sz w:val="28"/>
          <w:szCs w:val="28"/>
        </w:rPr>
        <w:t xml:space="preserve"> с 4,5 до 4 миллионов тонн в первом квартале после того, как сторонам не удалось найти взаимопонимания в газовом вопросе. Дело в том, что с начала 2016 года Минск в одностороннем порядке снизил оплату российского газа, из-за этого образовалась задолженность в 550 миллионов долларов. Александр Лукашенко настаивает, что из-за падения цен на нефть стоимость газа для страны должна быть ниже, чем в 2016 году: 83 доллара за тысячу кубометров вместо 132 долларов, установленных «Газпромом».</w:t>
      </w:r>
    </w:p>
    <w:p w:rsidR="00707DB4" w:rsidRPr="00181351" w:rsidRDefault="00707DB4" w:rsidP="00653D5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1351">
        <w:rPr>
          <w:sz w:val="28"/>
          <w:szCs w:val="28"/>
        </w:rPr>
        <w:t xml:space="preserve">Остроты в отношения добавили недавние аресты в Белоруссии публицистов, печатавшихся в российских СМИ, и отказ </w:t>
      </w:r>
      <w:r w:rsidR="00832CD5" w:rsidRPr="00181351">
        <w:rPr>
          <w:sz w:val="28"/>
          <w:szCs w:val="28"/>
        </w:rPr>
        <w:t xml:space="preserve">Александра </w:t>
      </w:r>
      <w:r w:rsidRPr="00181351">
        <w:rPr>
          <w:sz w:val="28"/>
          <w:szCs w:val="28"/>
        </w:rPr>
        <w:t xml:space="preserve">Лукашенко от посещения саммита ОДКБ и ЕАЭС в Санкт-Петербурге в декабре. В итоге </w:t>
      </w:r>
      <w:r w:rsidRPr="00181351">
        <w:rPr>
          <w:sz w:val="28"/>
          <w:szCs w:val="28"/>
        </w:rPr>
        <w:lastRenderedPageBreak/>
        <w:t xml:space="preserve">российско-белорусские отношения оказались в нижайшей точке за последние десятилетия. </w:t>
      </w:r>
    </w:p>
    <w:p w:rsidR="00653D55" w:rsidRPr="00181351" w:rsidRDefault="00653D55" w:rsidP="00653D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1351">
        <w:rPr>
          <w:rFonts w:ascii="Times New Roman" w:hAnsi="Times New Roman"/>
          <w:sz w:val="28"/>
          <w:szCs w:val="28"/>
          <w:shd w:val="clear" w:color="auto" w:fill="FFFFFF"/>
        </w:rPr>
        <w:t>Анализируя функционирование ЕАЭС на сегодняшний день, союз представляется как отстающий институт. Темпы создания общего рынка товаров, капитала, услуг и рабочей силы на сегодняшний день достаточно растянуты и отстают от темпов трансформации и запросов общества.</w:t>
      </w:r>
    </w:p>
    <w:p w:rsidR="00653D55" w:rsidRPr="00181351" w:rsidRDefault="00653D55" w:rsidP="00653D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51">
        <w:rPr>
          <w:rFonts w:ascii="Times New Roman" w:hAnsi="Times New Roman"/>
          <w:sz w:val="28"/>
          <w:szCs w:val="28"/>
        </w:rPr>
        <w:t>Трения в интеграционных процессах неизбежны, особенно когда интеграция осуществляется на равных условиях независимыми государствами, отстаивающими свой экономический суверенитет. Учитывая, что на Россию приходится около 50% внешней торговли Беларуси (преимущественно продукцией с достаточно высокой добавленной стоимостью), экономические потери в случае отказа двух стран от интеграционных процессов будут значительно больше по отношению к ВВП, чем в случае Украины и России.</w:t>
      </w:r>
    </w:p>
    <w:p w:rsidR="00A32C2F" w:rsidRPr="00181351" w:rsidRDefault="00A32C2F" w:rsidP="00653D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51">
        <w:rPr>
          <w:rFonts w:ascii="Times New Roman" w:hAnsi="Times New Roman"/>
          <w:sz w:val="28"/>
          <w:szCs w:val="28"/>
        </w:rPr>
        <w:t xml:space="preserve">Важнейшая перспектива — это создание </w:t>
      </w:r>
      <w:proofErr w:type="spellStart"/>
      <w:r w:rsidRPr="00181351">
        <w:rPr>
          <w:rFonts w:ascii="Times New Roman" w:hAnsi="Times New Roman"/>
          <w:sz w:val="28"/>
          <w:szCs w:val="28"/>
        </w:rPr>
        <w:t>общеевразийских</w:t>
      </w:r>
      <w:proofErr w:type="spellEnd"/>
      <w:r w:rsidRPr="00181351">
        <w:rPr>
          <w:rFonts w:ascii="Times New Roman" w:hAnsi="Times New Roman"/>
          <w:sz w:val="28"/>
          <w:szCs w:val="28"/>
        </w:rPr>
        <w:t xml:space="preserve"> ТНК. Пока подобные проекты (</w:t>
      </w:r>
      <w:proofErr w:type="spellStart"/>
      <w:r w:rsidRPr="00181351">
        <w:rPr>
          <w:rFonts w:ascii="Times New Roman" w:hAnsi="Times New Roman"/>
          <w:sz w:val="28"/>
          <w:szCs w:val="28"/>
        </w:rPr>
        <w:t>БелоРусская</w:t>
      </w:r>
      <w:proofErr w:type="spellEnd"/>
      <w:r w:rsidRPr="00181351">
        <w:rPr>
          <w:rFonts w:ascii="Times New Roman" w:hAnsi="Times New Roman"/>
          <w:sz w:val="28"/>
          <w:szCs w:val="28"/>
        </w:rPr>
        <w:t xml:space="preserve"> калийная кампания, объединение МАЗ и КамАЗ и др.) не получили нужного развития. Решение данной задачи сможет еще более интегрировать субъекты хозяйствования внутри ЕАЭС и предоставит возможность сообща выходить на рынки третьих стран, что стратегически важно для Беларуси с ее слабой инфраст</w:t>
      </w:r>
      <w:r w:rsidR="00653D55" w:rsidRPr="00181351">
        <w:rPr>
          <w:rFonts w:ascii="Times New Roman" w:hAnsi="Times New Roman"/>
          <w:sz w:val="28"/>
          <w:szCs w:val="28"/>
        </w:rPr>
        <w:t>руктурной и сервисной позицией.</w:t>
      </w:r>
    </w:p>
    <w:p w:rsidR="00A32C2F" w:rsidRPr="00181351" w:rsidRDefault="00A32C2F" w:rsidP="00653D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51">
        <w:rPr>
          <w:rFonts w:ascii="Times New Roman" w:hAnsi="Times New Roman"/>
          <w:sz w:val="28"/>
          <w:szCs w:val="28"/>
        </w:rPr>
        <w:t>Особый риск несет создание в России дублирующих белорусские мощности произво</w:t>
      </w:r>
      <w:proofErr w:type="gramStart"/>
      <w:r w:rsidRPr="00181351">
        <w:rPr>
          <w:rFonts w:ascii="Times New Roman" w:hAnsi="Times New Roman"/>
          <w:sz w:val="28"/>
          <w:szCs w:val="28"/>
        </w:rPr>
        <w:t>дств в р</w:t>
      </w:r>
      <w:proofErr w:type="gramEnd"/>
      <w:r w:rsidRPr="00181351">
        <w:rPr>
          <w:rFonts w:ascii="Times New Roman" w:hAnsi="Times New Roman"/>
          <w:sz w:val="28"/>
          <w:szCs w:val="28"/>
        </w:rPr>
        <w:t xml:space="preserve">амках программы </w:t>
      </w:r>
      <w:proofErr w:type="spellStart"/>
      <w:r w:rsidRPr="00181351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Pr="00181351">
        <w:rPr>
          <w:rFonts w:ascii="Times New Roman" w:hAnsi="Times New Roman"/>
          <w:sz w:val="28"/>
          <w:szCs w:val="28"/>
        </w:rPr>
        <w:t>. Это в перспективе 2025 г. повысит конкуренцию на внутреннем рынке ЕАЭС и создаст проблемы</w:t>
      </w:r>
      <w:r w:rsidR="00984E81">
        <w:rPr>
          <w:rFonts w:ascii="Times New Roman" w:hAnsi="Times New Roman"/>
          <w:sz w:val="28"/>
          <w:szCs w:val="28"/>
        </w:rPr>
        <w:t>,</w:t>
      </w:r>
      <w:r w:rsidRPr="00181351">
        <w:rPr>
          <w:rFonts w:ascii="Times New Roman" w:hAnsi="Times New Roman"/>
          <w:sz w:val="28"/>
          <w:szCs w:val="28"/>
        </w:rPr>
        <w:t xml:space="preserve"> прежде всего</w:t>
      </w:r>
      <w:r w:rsidR="00984E81">
        <w:rPr>
          <w:rFonts w:ascii="Times New Roman" w:hAnsi="Times New Roman"/>
          <w:sz w:val="28"/>
          <w:szCs w:val="28"/>
        </w:rPr>
        <w:t>,</w:t>
      </w:r>
      <w:r w:rsidRPr="00181351">
        <w:rPr>
          <w:rFonts w:ascii="Times New Roman" w:hAnsi="Times New Roman"/>
          <w:sz w:val="28"/>
          <w:szCs w:val="28"/>
        </w:rPr>
        <w:t xml:space="preserve"> белорусской пищевой промышленности. Возникает вопрос: сможет ли белорусская пищевая промышленность найти свою особую нишу на рынке ЕАЭС при все более увеличивающейся конкуренции? Здесь видится возможная переориентация белорусской пищевой промышленности к 2025 г. на определенные сегменты товаров премиального или экологически чистого уровня.</w:t>
      </w:r>
    </w:p>
    <w:p w:rsidR="00493444" w:rsidRDefault="00A32C2F" w:rsidP="004934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1351">
        <w:rPr>
          <w:rFonts w:ascii="Times New Roman" w:hAnsi="Times New Roman"/>
          <w:sz w:val="28"/>
          <w:szCs w:val="28"/>
        </w:rPr>
        <w:t>Эксперты полагают, что в ЕАЭС Беларусь и Россия получают ряд возможностей для долгосрочного разви</w:t>
      </w:r>
      <w:r w:rsidR="00653D55" w:rsidRPr="00181351">
        <w:rPr>
          <w:rFonts w:ascii="Times New Roman" w:hAnsi="Times New Roman"/>
          <w:sz w:val="28"/>
          <w:szCs w:val="28"/>
        </w:rPr>
        <w:t>тия. ЕАЭС в целом более интере</w:t>
      </w:r>
      <w:r w:rsidRPr="00181351">
        <w:rPr>
          <w:rFonts w:ascii="Times New Roman" w:hAnsi="Times New Roman"/>
          <w:sz w:val="28"/>
          <w:szCs w:val="28"/>
        </w:rPr>
        <w:t xml:space="preserve">сен, </w:t>
      </w:r>
      <w:r w:rsidRPr="00181351">
        <w:rPr>
          <w:rFonts w:ascii="Times New Roman" w:hAnsi="Times New Roman"/>
          <w:sz w:val="28"/>
          <w:szCs w:val="28"/>
        </w:rPr>
        <w:lastRenderedPageBreak/>
        <w:t>чем его участники по отдельности</w:t>
      </w:r>
      <w:r w:rsidR="00653D55" w:rsidRPr="00181351">
        <w:rPr>
          <w:rFonts w:ascii="Times New Roman" w:hAnsi="Times New Roman"/>
          <w:sz w:val="28"/>
          <w:szCs w:val="28"/>
        </w:rPr>
        <w:t>, для кооперации с другими объе</w:t>
      </w:r>
      <w:r w:rsidRPr="00181351">
        <w:rPr>
          <w:rFonts w:ascii="Times New Roman" w:hAnsi="Times New Roman"/>
          <w:sz w:val="28"/>
          <w:szCs w:val="28"/>
        </w:rPr>
        <w:t>динениями в связи с его более широк</w:t>
      </w:r>
      <w:r w:rsidR="00653D55" w:rsidRPr="00181351">
        <w:rPr>
          <w:rFonts w:ascii="Times New Roman" w:hAnsi="Times New Roman"/>
          <w:sz w:val="28"/>
          <w:szCs w:val="28"/>
        </w:rPr>
        <w:t>ими масштабами рынка сбыта, ис</w:t>
      </w:r>
      <w:r w:rsidRPr="00181351">
        <w:rPr>
          <w:rFonts w:ascii="Times New Roman" w:hAnsi="Times New Roman"/>
          <w:sz w:val="28"/>
          <w:szCs w:val="28"/>
        </w:rPr>
        <w:t>точниками ресурсов и большой транспортной протяженностью. ЕАЭС может «выторговать» больше префере</w:t>
      </w:r>
      <w:r w:rsidR="00653D55" w:rsidRPr="00181351">
        <w:rPr>
          <w:rFonts w:ascii="Times New Roman" w:hAnsi="Times New Roman"/>
          <w:sz w:val="28"/>
          <w:szCs w:val="28"/>
        </w:rPr>
        <w:t>нций при взаимодействии с круп</w:t>
      </w:r>
      <w:r w:rsidRPr="00181351">
        <w:rPr>
          <w:rFonts w:ascii="Times New Roman" w:hAnsi="Times New Roman"/>
          <w:sz w:val="28"/>
          <w:szCs w:val="28"/>
        </w:rPr>
        <w:t>ными зарубежными блоками и государствами, чем отдельная страна. Если ЕАЭС удастся интегрироваться с такими с</w:t>
      </w:r>
      <w:r w:rsidR="00653D55" w:rsidRPr="00181351">
        <w:rPr>
          <w:rFonts w:ascii="Times New Roman" w:hAnsi="Times New Roman"/>
          <w:sz w:val="28"/>
          <w:szCs w:val="28"/>
        </w:rPr>
        <w:t>транами, как, например, Изра</w:t>
      </w:r>
      <w:r w:rsidRPr="00181351">
        <w:rPr>
          <w:rFonts w:ascii="Times New Roman" w:hAnsi="Times New Roman"/>
          <w:sz w:val="28"/>
          <w:szCs w:val="28"/>
        </w:rPr>
        <w:t>иль, это откроет окно для импорта технологий. ЕАЭС также обеспечивает рамку для высокотехнологичной кооперации в сфере ОПК, атомной эне</w:t>
      </w:r>
      <w:r w:rsidR="00653D55" w:rsidRPr="00181351">
        <w:rPr>
          <w:rFonts w:ascii="Times New Roman" w:hAnsi="Times New Roman"/>
          <w:sz w:val="28"/>
          <w:szCs w:val="28"/>
        </w:rPr>
        <w:t>р</w:t>
      </w:r>
      <w:r w:rsidRPr="00181351">
        <w:rPr>
          <w:rFonts w:ascii="Times New Roman" w:hAnsi="Times New Roman"/>
          <w:sz w:val="28"/>
          <w:szCs w:val="28"/>
        </w:rPr>
        <w:t>гетики, космоса, в перспективе — в химии, IT и других отраслях.</w:t>
      </w:r>
      <w:r w:rsidRPr="001813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93444" w:rsidRDefault="00493444" w:rsidP="004934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970B7" w:rsidRPr="00493444" w:rsidRDefault="007970B7" w:rsidP="00AA76E4">
      <w:pPr>
        <w:pStyle w:val="a7"/>
        <w:spacing w:after="0" w:line="360" w:lineRule="auto"/>
        <w:ind w:hanging="720"/>
        <w:rPr>
          <w:rFonts w:ascii="Times New Roman" w:hAnsi="Times New Roman"/>
          <w:b/>
          <w:sz w:val="28"/>
          <w:szCs w:val="28"/>
        </w:rPr>
      </w:pPr>
      <w:r w:rsidRPr="00493444">
        <w:rPr>
          <w:rFonts w:ascii="Times New Roman" w:hAnsi="Times New Roman"/>
          <w:b/>
          <w:sz w:val="28"/>
          <w:szCs w:val="28"/>
          <w:highlight w:val="white"/>
        </w:rPr>
        <w:t>Список литературы:</w:t>
      </w:r>
    </w:p>
    <w:p w:rsidR="006422E2" w:rsidRPr="00493444" w:rsidRDefault="006422E2" w:rsidP="00AA76E4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3444">
        <w:rPr>
          <w:rFonts w:ascii="Times New Roman" w:hAnsi="Times New Roman"/>
          <w:sz w:val="28"/>
          <w:szCs w:val="28"/>
        </w:rPr>
        <w:t>Евразийский экономический союз в цифрах: статистический ежегодник. — М.: Евразийская экономическая комиссия - 2016 - C.</w:t>
      </w:r>
      <w:r w:rsidR="00514934" w:rsidRPr="00493444">
        <w:rPr>
          <w:rFonts w:ascii="Times New Roman" w:hAnsi="Times New Roman"/>
          <w:sz w:val="28"/>
          <w:szCs w:val="28"/>
        </w:rPr>
        <w:t xml:space="preserve"> 23-31.</w:t>
      </w:r>
    </w:p>
    <w:p w:rsidR="006422E2" w:rsidRPr="00493444" w:rsidRDefault="006422E2" w:rsidP="00984E8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3444">
        <w:rPr>
          <w:rFonts w:ascii="Times New Roman" w:hAnsi="Times New Roman"/>
          <w:sz w:val="28"/>
          <w:szCs w:val="28"/>
        </w:rPr>
        <w:t>Об основных направлениях промышленного сотрудничества в рамках Евразийского экономического</w:t>
      </w:r>
      <w:bookmarkStart w:id="1" w:name="_GoBack"/>
      <w:bookmarkEnd w:id="1"/>
      <w:r w:rsidRPr="00493444">
        <w:rPr>
          <w:rFonts w:ascii="Times New Roman" w:hAnsi="Times New Roman"/>
          <w:sz w:val="28"/>
          <w:szCs w:val="28"/>
        </w:rPr>
        <w:t xml:space="preserve"> союза. Решение Евразийского межправительственного совета - 2015 - №9 - С.</w:t>
      </w:r>
      <w:r w:rsidR="00514934" w:rsidRPr="00493444">
        <w:rPr>
          <w:rFonts w:ascii="Times New Roman" w:hAnsi="Times New Roman"/>
          <w:sz w:val="28"/>
          <w:szCs w:val="28"/>
        </w:rPr>
        <w:t xml:space="preserve"> 8-30.</w:t>
      </w:r>
    </w:p>
    <w:p w:rsidR="006422E2" w:rsidRPr="00493444" w:rsidRDefault="007970B7" w:rsidP="00984E8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3444">
        <w:rPr>
          <w:rFonts w:ascii="Times New Roman" w:hAnsi="Times New Roman"/>
          <w:sz w:val="28"/>
          <w:szCs w:val="28"/>
        </w:rPr>
        <w:t>Российско-белорусские отношения в горизонте до 2020 года: итоги</w:t>
      </w:r>
      <w:r w:rsidR="006422E2" w:rsidRPr="00493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444">
        <w:rPr>
          <w:rFonts w:ascii="Times New Roman" w:hAnsi="Times New Roman"/>
          <w:sz w:val="28"/>
          <w:szCs w:val="28"/>
        </w:rPr>
        <w:t>форсайт</w:t>
      </w:r>
      <w:proofErr w:type="spellEnd"/>
      <w:r w:rsidRPr="00493444">
        <w:rPr>
          <w:rFonts w:ascii="Times New Roman" w:hAnsi="Times New Roman"/>
          <w:sz w:val="28"/>
          <w:szCs w:val="28"/>
        </w:rPr>
        <w:t xml:space="preserve">-сессии / под ред. А. Д. </w:t>
      </w:r>
      <w:proofErr w:type="spellStart"/>
      <w:r w:rsidRPr="00493444">
        <w:rPr>
          <w:rFonts w:ascii="Times New Roman" w:hAnsi="Times New Roman"/>
          <w:sz w:val="28"/>
          <w:szCs w:val="28"/>
        </w:rPr>
        <w:t>Саулина</w:t>
      </w:r>
      <w:proofErr w:type="spellEnd"/>
      <w:r w:rsidRPr="00493444">
        <w:rPr>
          <w:rFonts w:ascii="Times New Roman" w:hAnsi="Times New Roman"/>
          <w:sz w:val="28"/>
          <w:szCs w:val="28"/>
        </w:rPr>
        <w:t xml:space="preserve">. – М.: ООО «Интеграция: Образование и Наука», 2017. – </w:t>
      </w:r>
      <w:r w:rsidR="00514934" w:rsidRPr="00493444">
        <w:rPr>
          <w:rFonts w:ascii="Times New Roman" w:hAnsi="Times New Roman"/>
          <w:sz w:val="28"/>
          <w:szCs w:val="28"/>
        </w:rPr>
        <w:t>С. 25-48</w:t>
      </w:r>
      <w:r w:rsidRPr="00493444">
        <w:rPr>
          <w:rFonts w:ascii="Times New Roman" w:hAnsi="Times New Roman"/>
          <w:sz w:val="28"/>
          <w:szCs w:val="28"/>
        </w:rPr>
        <w:t>.</w:t>
      </w:r>
    </w:p>
    <w:p w:rsidR="006422E2" w:rsidRPr="00493444" w:rsidRDefault="006422E2" w:rsidP="00984E8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3444">
        <w:rPr>
          <w:rFonts w:ascii="Times New Roman" w:hAnsi="Times New Roman"/>
          <w:sz w:val="28"/>
          <w:szCs w:val="28"/>
        </w:rPr>
        <w:t xml:space="preserve">Продукцию 31 белорусского предприятия не будут ввозить на Смоленщину - URL: </w:t>
      </w:r>
      <w:hyperlink r:id="rId13" w:history="1">
        <w:r w:rsidRPr="0049344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https://yartsevo.readovka.ru/news/25502</w:t>
        </w:r>
      </w:hyperlink>
      <w:r w:rsidR="00514934" w:rsidRPr="00493444">
        <w:rPr>
          <w:rFonts w:ascii="Times New Roman" w:hAnsi="Times New Roman"/>
          <w:sz w:val="28"/>
          <w:szCs w:val="28"/>
        </w:rPr>
        <w:t xml:space="preserve"> -</w:t>
      </w:r>
      <w:r w:rsidRPr="00493444">
        <w:rPr>
          <w:rFonts w:ascii="Times New Roman" w:hAnsi="Times New Roman"/>
          <w:sz w:val="28"/>
          <w:szCs w:val="28"/>
        </w:rPr>
        <w:t xml:space="preserve"> (Дата обращения: 11.11.2017) </w:t>
      </w:r>
    </w:p>
    <w:p w:rsidR="008669C5" w:rsidRPr="00493444" w:rsidRDefault="006422E2" w:rsidP="00984E8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3444">
        <w:rPr>
          <w:rFonts w:ascii="Times New Roman" w:hAnsi="Times New Roman"/>
          <w:sz w:val="28"/>
          <w:szCs w:val="28"/>
        </w:rPr>
        <w:t xml:space="preserve">Смоленщина - на втором месте в Центральной России по торговле со странами ЕАЭС - URL: </w:t>
      </w:r>
      <w:hyperlink r:id="rId14" w:history="1">
        <w:r w:rsidRPr="0049344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https://readovka.ru/news/25594</w:t>
        </w:r>
      </w:hyperlink>
      <w:r w:rsidR="00514934" w:rsidRPr="00493444">
        <w:rPr>
          <w:rFonts w:ascii="Times New Roman" w:hAnsi="Times New Roman"/>
          <w:sz w:val="28"/>
          <w:szCs w:val="28"/>
        </w:rPr>
        <w:t xml:space="preserve"> - </w:t>
      </w:r>
      <w:r w:rsidRPr="00493444">
        <w:rPr>
          <w:rFonts w:ascii="Times New Roman" w:hAnsi="Times New Roman"/>
          <w:sz w:val="28"/>
          <w:szCs w:val="28"/>
        </w:rPr>
        <w:t>(Дата обращения: 11.11.2017)</w:t>
      </w:r>
    </w:p>
    <w:p w:rsidR="007970B7" w:rsidRPr="00493444" w:rsidRDefault="008669C5" w:rsidP="00984E8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3444">
        <w:rPr>
          <w:rFonts w:ascii="Times New Roman" w:hAnsi="Times New Roman"/>
          <w:sz w:val="28"/>
          <w:szCs w:val="28"/>
        </w:rPr>
        <w:t xml:space="preserve">Торговля между Россией и Беларусью – URL: </w:t>
      </w:r>
      <w:hyperlink r:id="rId15" w:history="1">
        <w:r w:rsidRPr="0049344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http://russian-trade.com/reports-and-reviews/2017-02/torgovlya-mezhdu-rossiey-i-belarusyu-v-2016-g/</w:t>
        </w:r>
      </w:hyperlink>
      <w:r w:rsidR="00514934" w:rsidRPr="00493444">
        <w:rPr>
          <w:rFonts w:ascii="Times New Roman" w:hAnsi="Times New Roman"/>
          <w:sz w:val="28"/>
          <w:szCs w:val="28"/>
        </w:rPr>
        <w:t xml:space="preserve"> -</w:t>
      </w:r>
      <w:r w:rsidR="006422E2" w:rsidRPr="00493444">
        <w:rPr>
          <w:rFonts w:ascii="Times New Roman" w:hAnsi="Times New Roman"/>
          <w:sz w:val="28"/>
          <w:szCs w:val="28"/>
        </w:rPr>
        <w:t xml:space="preserve"> (Дата обращения: 14.11.2017)</w:t>
      </w:r>
    </w:p>
    <w:p w:rsidR="00707DB4" w:rsidRPr="00181351" w:rsidRDefault="00707DB4" w:rsidP="00653D55">
      <w:pPr>
        <w:spacing w:line="360" w:lineRule="auto"/>
      </w:pPr>
    </w:p>
    <w:sectPr w:rsidR="00707DB4" w:rsidRPr="00181351" w:rsidSect="008E4E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C1A"/>
    <w:multiLevelType w:val="hybridMultilevel"/>
    <w:tmpl w:val="326A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047C3"/>
    <w:multiLevelType w:val="hybridMultilevel"/>
    <w:tmpl w:val="7F72AD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013E61"/>
    <w:multiLevelType w:val="hybridMultilevel"/>
    <w:tmpl w:val="A0E6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B3580"/>
    <w:multiLevelType w:val="hybridMultilevel"/>
    <w:tmpl w:val="3AE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C4159"/>
    <w:multiLevelType w:val="hybridMultilevel"/>
    <w:tmpl w:val="B71094E0"/>
    <w:lvl w:ilvl="0" w:tplc="8EF4AB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DF"/>
    <w:rsid w:val="000A632E"/>
    <w:rsid w:val="000B70CE"/>
    <w:rsid w:val="00181351"/>
    <w:rsid w:val="00242112"/>
    <w:rsid w:val="00421EDF"/>
    <w:rsid w:val="00493444"/>
    <w:rsid w:val="004A4AC7"/>
    <w:rsid w:val="00514934"/>
    <w:rsid w:val="005B2E69"/>
    <w:rsid w:val="005D721B"/>
    <w:rsid w:val="006422E2"/>
    <w:rsid w:val="00653D55"/>
    <w:rsid w:val="00697ABA"/>
    <w:rsid w:val="006E04BA"/>
    <w:rsid w:val="00707DB4"/>
    <w:rsid w:val="007970B7"/>
    <w:rsid w:val="00832CD5"/>
    <w:rsid w:val="00847A16"/>
    <w:rsid w:val="008669C5"/>
    <w:rsid w:val="008E4E23"/>
    <w:rsid w:val="0096409E"/>
    <w:rsid w:val="00984E81"/>
    <w:rsid w:val="00A32C2F"/>
    <w:rsid w:val="00AA76E4"/>
    <w:rsid w:val="00B25F88"/>
    <w:rsid w:val="00D36E25"/>
    <w:rsid w:val="00E41C32"/>
    <w:rsid w:val="00FB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E23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E41C32"/>
    <w:rPr>
      <w:i/>
      <w:iCs/>
    </w:rPr>
  </w:style>
  <w:style w:type="paragraph" w:styleId="a5">
    <w:name w:val="Normal (Web)"/>
    <w:basedOn w:val="a"/>
    <w:uiPriority w:val="99"/>
    <w:unhideWhenUsed/>
    <w:rsid w:val="00707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B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970B7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2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E23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E41C32"/>
    <w:rPr>
      <w:i/>
      <w:iCs/>
    </w:rPr>
  </w:style>
  <w:style w:type="paragraph" w:styleId="a5">
    <w:name w:val="Normal (Web)"/>
    <w:basedOn w:val="a"/>
    <w:uiPriority w:val="99"/>
    <w:unhideWhenUsed/>
    <w:rsid w:val="00707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B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970B7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E%D0%B7%D0%BD%D0%BE%D0%B5_%D0%B3%D0%BE%D1%81%D1%83%D0%B4%D0%B0%D1%80%D1%81%D1%82%D0%B2%D0%BE" TargetMode="External"/><Relationship Id="rId13" Type="http://schemas.openxmlformats.org/officeDocument/2006/relationships/hyperlink" Target="https://yartsevo.readovka.ru/news/255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5%D0%BB%D0%BE%D1%80%D1%83%D1%81%D1%81%D0%B8%D1%8F" TargetMode="External"/><Relationship Id="rId12" Type="http://schemas.openxmlformats.org/officeDocument/2006/relationships/hyperlink" Target="https://lenta.ru/news/2017/01/09/nef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1%81%D1%81%D0%B8%D1%8F" TargetMode="External"/><Relationship Id="rId11" Type="http://schemas.openxmlformats.org/officeDocument/2006/relationships/hyperlink" Target="https://lenta.ru/news/2017/02/01/granits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ssian-trade.com/reports-and-reviews/2017-02/torgovlya-mezhdu-rossiey-i-belarusyu-v-2016-g/" TargetMode="External"/><Relationship Id="rId10" Type="http://schemas.openxmlformats.org/officeDocument/2006/relationships/hyperlink" Target="https://ru.wikipedia.org/wiki/%D0%95%D0%B2%D1%80%D0%B0%D0%B7%D0%B8%D0%B9%D1%81%D0%BA%D0%B8%D0%B9_%D1%8D%D0%BA%D0%BE%D0%BD%D0%BE%D0%BC%D0%B8%D1%87%D0%B5%D1%81%D0%BA%D0%B8%D0%B9_%D1%81%D0%BE%D1%8E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0%D0%BC%D0%BE%D0%B6%D0%B5%D0%BD%D0%BD%D1%8B%D0%B9_%D1%81%D0%BE%D1%8E%D0%B7_%D0%95%D0%90%D0%AD%D0%A1" TargetMode="External"/><Relationship Id="rId14" Type="http://schemas.openxmlformats.org/officeDocument/2006/relationships/hyperlink" Target="https://readovka.ru/news/25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LoRem</dc:creator>
  <cp:keywords/>
  <dc:description/>
  <cp:lastModifiedBy>preem</cp:lastModifiedBy>
  <cp:revision>8</cp:revision>
  <dcterms:created xsi:type="dcterms:W3CDTF">2017-11-17T14:04:00Z</dcterms:created>
  <dcterms:modified xsi:type="dcterms:W3CDTF">2017-11-19T08:58:00Z</dcterms:modified>
</cp:coreProperties>
</file>