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45" w:rsidRPr="006771CD" w:rsidRDefault="006771CD" w:rsidP="006771CD">
      <w:pPr>
        <w:spacing w:after="0" w:line="240" w:lineRule="auto"/>
        <w:jc w:val="right"/>
        <w:rPr>
          <w:rFonts w:ascii="Arial" w:hAnsi="Arial" w:cs="Arial"/>
          <w:b/>
          <w:i/>
          <w:sz w:val="24"/>
          <w:szCs w:val="24"/>
        </w:rPr>
      </w:pPr>
      <w:r w:rsidRPr="006771CD">
        <w:rPr>
          <w:rFonts w:ascii="Arial" w:hAnsi="Arial" w:cs="Arial"/>
          <w:b/>
          <w:i/>
          <w:sz w:val="24"/>
          <w:szCs w:val="24"/>
        </w:rPr>
        <w:t>Якушева Наталья Игоревна</w:t>
      </w:r>
    </w:p>
    <w:p w:rsidR="00591245" w:rsidRPr="00D9371A" w:rsidRDefault="00591245" w:rsidP="006771CD">
      <w:pPr>
        <w:spacing w:after="0" w:line="240" w:lineRule="auto"/>
        <w:ind w:firstLine="709"/>
        <w:contextualSpacing/>
        <w:jc w:val="right"/>
        <w:rPr>
          <w:rFonts w:ascii="Arial" w:hAnsi="Arial" w:cs="Arial"/>
          <w:bCs/>
          <w:i/>
          <w:sz w:val="24"/>
          <w:szCs w:val="24"/>
        </w:rPr>
      </w:pPr>
      <w:r w:rsidRPr="00D9371A">
        <w:rPr>
          <w:rFonts w:ascii="Arial" w:hAnsi="Arial" w:cs="Arial"/>
          <w:bCs/>
          <w:i/>
          <w:sz w:val="24"/>
          <w:szCs w:val="24"/>
        </w:rPr>
        <w:t>2 курс, экономист, кафедра экономики и торгового дела</w:t>
      </w:r>
    </w:p>
    <w:p w:rsidR="00591245" w:rsidRPr="00D9371A" w:rsidRDefault="00591245" w:rsidP="006771CD">
      <w:pPr>
        <w:spacing w:after="0" w:line="240" w:lineRule="auto"/>
        <w:ind w:firstLine="709"/>
        <w:contextualSpacing/>
        <w:jc w:val="right"/>
        <w:rPr>
          <w:rFonts w:ascii="Arial" w:hAnsi="Arial" w:cs="Arial"/>
          <w:bCs/>
          <w:i/>
          <w:sz w:val="24"/>
          <w:szCs w:val="24"/>
        </w:rPr>
      </w:pPr>
      <w:r w:rsidRPr="00D9371A">
        <w:rPr>
          <w:rFonts w:ascii="Arial" w:hAnsi="Arial" w:cs="Arial"/>
          <w:bCs/>
          <w:i/>
          <w:sz w:val="24"/>
          <w:szCs w:val="24"/>
        </w:rPr>
        <w:t>Российский экономический университет им. Г. В. Плеханова</w:t>
      </w:r>
    </w:p>
    <w:p w:rsidR="00591245" w:rsidRPr="00D9371A" w:rsidRDefault="00591245" w:rsidP="006771CD">
      <w:pPr>
        <w:spacing w:after="0" w:line="240" w:lineRule="auto"/>
        <w:ind w:firstLine="709"/>
        <w:contextualSpacing/>
        <w:jc w:val="right"/>
        <w:rPr>
          <w:rFonts w:ascii="Arial" w:hAnsi="Arial" w:cs="Arial"/>
          <w:bCs/>
          <w:i/>
          <w:sz w:val="24"/>
          <w:szCs w:val="24"/>
        </w:rPr>
      </w:pPr>
      <w:r w:rsidRPr="00D9371A">
        <w:rPr>
          <w:rFonts w:ascii="Arial" w:hAnsi="Arial" w:cs="Arial"/>
          <w:bCs/>
          <w:i/>
          <w:sz w:val="24"/>
          <w:szCs w:val="24"/>
        </w:rPr>
        <w:t>Смоленский филиал.</w:t>
      </w:r>
    </w:p>
    <w:p w:rsidR="00591245" w:rsidRPr="001A3BD6" w:rsidRDefault="00591245" w:rsidP="001111A3">
      <w:pPr>
        <w:spacing w:after="0" w:line="240" w:lineRule="auto"/>
        <w:jc w:val="right"/>
        <w:rPr>
          <w:rFonts w:ascii="Arial" w:hAnsi="Arial" w:cs="Arial"/>
          <w:b/>
          <w:bCs/>
          <w:i/>
          <w:sz w:val="24"/>
          <w:szCs w:val="24"/>
        </w:rPr>
      </w:pPr>
      <w:r w:rsidRPr="00D9371A">
        <w:rPr>
          <w:rFonts w:ascii="Arial" w:hAnsi="Arial" w:cs="Arial"/>
          <w:bCs/>
          <w:i/>
          <w:sz w:val="24"/>
          <w:szCs w:val="24"/>
        </w:rPr>
        <w:t>Научный руководитель:</w:t>
      </w:r>
      <w:r w:rsidR="006771CD">
        <w:rPr>
          <w:rFonts w:ascii="Arial" w:hAnsi="Arial" w:cs="Arial"/>
          <w:bCs/>
          <w:i/>
          <w:sz w:val="24"/>
          <w:szCs w:val="24"/>
        </w:rPr>
        <w:t xml:space="preserve"> </w:t>
      </w:r>
      <w:r w:rsidR="006771CD">
        <w:rPr>
          <w:rFonts w:ascii="Arial" w:hAnsi="Arial" w:cs="Arial"/>
          <w:b/>
          <w:bCs/>
          <w:i/>
          <w:sz w:val="24"/>
          <w:szCs w:val="24"/>
        </w:rPr>
        <w:t>Яроцкая</w:t>
      </w:r>
      <w:r w:rsidR="001A3BD6" w:rsidRPr="001A3BD6">
        <w:rPr>
          <w:color w:val="000000"/>
          <w:sz w:val="27"/>
          <w:szCs w:val="27"/>
        </w:rPr>
        <w:t xml:space="preserve"> </w:t>
      </w:r>
      <w:r w:rsidR="001A3BD6" w:rsidRPr="001A3BD6">
        <w:rPr>
          <w:b/>
          <w:i/>
          <w:color w:val="000000"/>
          <w:sz w:val="27"/>
          <w:szCs w:val="27"/>
        </w:rPr>
        <w:t>Елена Владимировна</w:t>
      </w:r>
      <w:r w:rsidR="006771CD">
        <w:rPr>
          <w:rFonts w:ascii="Arial" w:hAnsi="Arial" w:cs="Arial"/>
          <w:b/>
          <w:bCs/>
          <w:i/>
          <w:sz w:val="24"/>
          <w:szCs w:val="24"/>
        </w:rPr>
        <w:t xml:space="preserve"> </w:t>
      </w:r>
    </w:p>
    <w:p w:rsidR="00591245" w:rsidRPr="001A3BD6" w:rsidRDefault="002C4D3E" w:rsidP="001111A3">
      <w:pPr>
        <w:spacing w:after="0" w:line="240" w:lineRule="auto"/>
        <w:jc w:val="right"/>
        <w:rPr>
          <w:rFonts w:ascii="Arial" w:hAnsi="Arial" w:cs="Arial"/>
          <w:bCs/>
          <w:i/>
          <w:sz w:val="24"/>
          <w:szCs w:val="24"/>
          <w:u w:val="single"/>
        </w:rPr>
      </w:pPr>
      <w:hyperlink r:id="rId6" w:history="1">
        <w:r w:rsidR="00591245" w:rsidRPr="00591245">
          <w:rPr>
            <w:rStyle w:val="a3"/>
            <w:rFonts w:ascii="Arial" w:hAnsi="Arial" w:cs="Arial"/>
            <w:bCs/>
            <w:i/>
            <w:color w:val="auto"/>
            <w:sz w:val="24"/>
            <w:szCs w:val="24"/>
            <w:lang w:val="en-US"/>
          </w:rPr>
          <w:t>nata</w:t>
        </w:r>
        <w:r w:rsidR="00591245" w:rsidRPr="001A3BD6">
          <w:rPr>
            <w:rStyle w:val="a3"/>
            <w:rFonts w:ascii="Arial" w:hAnsi="Arial" w:cs="Arial"/>
            <w:bCs/>
            <w:i/>
            <w:color w:val="auto"/>
            <w:sz w:val="24"/>
            <w:szCs w:val="24"/>
          </w:rPr>
          <w:t>200199@</w:t>
        </w:r>
        <w:r w:rsidR="00591245" w:rsidRPr="00591245">
          <w:rPr>
            <w:rStyle w:val="a3"/>
            <w:rFonts w:ascii="Arial" w:hAnsi="Arial" w:cs="Arial"/>
            <w:bCs/>
            <w:i/>
            <w:color w:val="auto"/>
            <w:sz w:val="24"/>
            <w:szCs w:val="24"/>
            <w:lang w:val="en-US"/>
          </w:rPr>
          <w:t>yandex</w:t>
        </w:r>
        <w:r w:rsidR="00591245" w:rsidRPr="001A3BD6">
          <w:rPr>
            <w:rStyle w:val="a3"/>
            <w:rFonts w:ascii="Arial" w:hAnsi="Arial" w:cs="Arial"/>
            <w:bCs/>
            <w:i/>
            <w:color w:val="auto"/>
            <w:sz w:val="24"/>
            <w:szCs w:val="24"/>
          </w:rPr>
          <w:t>.</w:t>
        </w:r>
        <w:r w:rsidR="00591245" w:rsidRPr="00591245">
          <w:rPr>
            <w:rStyle w:val="a3"/>
            <w:rFonts w:ascii="Arial" w:hAnsi="Arial" w:cs="Arial"/>
            <w:bCs/>
            <w:i/>
            <w:color w:val="auto"/>
            <w:sz w:val="24"/>
            <w:szCs w:val="24"/>
            <w:lang w:val="en-US"/>
          </w:rPr>
          <w:t>ru</w:t>
        </w:r>
      </w:hyperlink>
    </w:p>
    <w:p w:rsidR="00591245" w:rsidRPr="001A3BD6" w:rsidRDefault="00591245" w:rsidP="001111A3">
      <w:pPr>
        <w:spacing w:line="240" w:lineRule="auto"/>
        <w:ind w:firstLine="709"/>
        <w:jc w:val="right"/>
        <w:rPr>
          <w:rFonts w:ascii="Arial" w:hAnsi="Arial" w:cs="Arial"/>
          <w:bCs/>
          <w:i/>
          <w:sz w:val="24"/>
          <w:szCs w:val="24"/>
        </w:rPr>
      </w:pPr>
    </w:p>
    <w:p w:rsidR="00591245" w:rsidRDefault="001111A3" w:rsidP="001111A3">
      <w:pPr>
        <w:spacing w:line="240" w:lineRule="auto"/>
        <w:ind w:firstLine="709"/>
        <w:jc w:val="both"/>
        <w:rPr>
          <w:rFonts w:ascii="Arial" w:hAnsi="Arial" w:cs="Arial"/>
          <w:b/>
          <w:bCs/>
          <w:i/>
          <w:sz w:val="24"/>
          <w:szCs w:val="24"/>
        </w:rPr>
      </w:pPr>
      <w:r w:rsidRPr="001111A3">
        <w:rPr>
          <w:rFonts w:ascii="Arial" w:hAnsi="Arial" w:cs="Arial"/>
          <w:b/>
          <w:bCs/>
          <w:i/>
          <w:sz w:val="24"/>
          <w:szCs w:val="24"/>
        </w:rPr>
        <w:t>Система показателей уровня жизни населения России: анализ и система показателей</w:t>
      </w:r>
    </w:p>
    <w:p w:rsidR="001111A3" w:rsidRDefault="00607113" w:rsidP="001111A3">
      <w:pPr>
        <w:spacing w:line="240" w:lineRule="auto"/>
        <w:ind w:firstLine="709"/>
        <w:jc w:val="both"/>
        <w:rPr>
          <w:rFonts w:ascii="Arial" w:hAnsi="Arial" w:cs="Arial"/>
          <w:bCs/>
          <w:i/>
          <w:sz w:val="24"/>
          <w:szCs w:val="24"/>
        </w:rPr>
      </w:pPr>
      <w:r>
        <w:rPr>
          <w:rFonts w:ascii="Arial" w:hAnsi="Arial" w:cs="Arial"/>
          <w:b/>
          <w:bCs/>
          <w:i/>
          <w:sz w:val="24"/>
          <w:szCs w:val="24"/>
        </w:rPr>
        <w:t>Аннотация:</w:t>
      </w:r>
      <w:r w:rsidRPr="00607113">
        <w:rPr>
          <w:rFonts w:ascii="Arial" w:hAnsi="Arial" w:cs="Arial"/>
          <w:bCs/>
          <w:i/>
          <w:sz w:val="24"/>
          <w:szCs w:val="24"/>
        </w:rPr>
        <w:t xml:space="preserve"> </w:t>
      </w:r>
      <w:r w:rsidRPr="00D9371A">
        <w:rPr>
          <w:rFonts w:ascii="Arial" w:hAnsi="Arial" w:cs="Arial"/>
          <w:bCs/>
          <w:i/>
          <w:sz w:val="24"/>
          <w:szCs w:val="24"/>
        </w:rPr>
        <w:t>В статье ставится задача рассмотреть</w:t>
      </w:r>
      <w:r>
        <w:rPr>
          <w:rFonts w:ascii="Arial" w:hAnsi="Arial" w:cs="Arial"/>
          <w:bCs/>
          <w:i/>
          <w:sz w:val="24"/>
          <w:szCs w:val="24"/>
        </w:rPr>
        <w:t xml:space="preserve"> статистич</w:t>
      </w:r>
      <w:r w:rsidR="00D333D8">
        <w:rPr>
          <w:rFonts w:ascii="Arial" w:hAnsi="Arial" w:cs="Arial"/>
          <w:bCs/>
          <w:i/>
          <w:sz w:val="24"/>
          <w:szCs w:val="24"/>
        </w:rPr>
        <w:t xml:space="preserve">еский анализ уровня жизни </w:t>
      </w:r>
      <w:r w:rsidR="008951E9">
        <w:rPr>
          <w:rFonts w:ascii="Arial" w:hAnsi="Arial" w:cs="Arial"/>
          <w:bCs/>
          <w:i/>
          <w:sz w:val="24"/>
          <w:szCs w:val="24"/>
        </w:rPr>
        <w:t xml:space="preserve">населения </w:t>
      </w:r>
      <w:r w:rsidR="00D333D8">
        <w:rPr>
          <w:rFonts w:ascii="Arial" w:hAnsi="Arial" w:cs="Arial"/>
          <w:bCs/>
          <w:i/>
          <w:sz w:val="24"/>
          <w:szCs w:val="24"/>
        </w:rPr>
        <w:t>в Росс</w:t>
      </w:r>
      <w:r>
        <w:rPr>
          <w:rFonts w:ascii="Arial" w:hAnsi="Arial" w:cs="Arial"/>
          <w:bCs/>
          <w:i/>
          <w:sz w:val="24"/>
          <w:szCs w:val="24"/>
        </w:rPr>
        <w:t>ии.</w:t>
      </w:r>
      <w:r w:rsidR="00D333D8">
        <w:rPr>
          <w:rFonts w:ascii="Arial" w:hAnsi="Arial" w:cs="Arial"/>
          <w:bCs/>
          <w:i/>
          <w:sz w:val="24"/>
          <w:szCs w:val="24"/>
        </w:rPr>
        <w:t xml:space="preserve"> Показано, что современный уровень жизни населения зависит от уровня ВВП, индекса потребительских цен, </w:t>
      </w:r>
      <w:r w:rsidR="00DB4719">
        <w:rPr>
          <w:rFonts w:ascii="Arial" w:hAnsi="Arial" w:cs="Arial"/>
          <w:bCs/>
          <w:i/>
          <w:sz w:val="24"/>
          <w:szCs w:val="24"/>
        </w:rPr>
        <w:t>демографической ситуации,</w:t>
      </w:r>
      <w:r w:rsidR="00DB4719" w:rsidRPr="00DB4719">
        <w:rPr>
          <w:rFonts w:ascii="Arial" w:hAnsi="Arial" w:cs="Arial"/>
          <w:bCs/>
          <w:i/>
          <w:sz w:val="24"/>
          <w:szCs w:val="24"/>
        </w:rPr>
        <w:t xml:space="preserve"> уровня экономического развития</w:t>
      </w:r>
      <w:r w:rsidR="00DB4719">
        <w:rPr>
          <w:rFonts w:ascii="Arial" w:hAnsi="Arial" w:cs="Arial"/>
          <w:bCs/>
          <w:i/>
          <w:sz w:val="24"/>
          <w:szCs w:val="24"/>
        </w:rPr>
        <w:t>, духовного развития,</w:t>
      </w:r>
      <w:r w:rsidR="00DB4719" w:rsidRPr="00DB4719">
        <w:rPr>
          <w:rFonts w:ascii="Arial" w:hAnsi="Arial" w:cs="Arial"/>
          <w:bCs/>
          <w:i/>
          <w:sz w:val="24"/>
          <w:szCs w:val="24"/>
        </w:rPr>
        <w:t xml:space="preserve"> экологической ситуации, жилищно-бытовых и производственных условий, объема и качества потребительских товаров</w:t>
      </w:r>
      <w:r w:rsidR="00DB4719">
        <w:rPr>
          <w:rFonts w:ascii="Arial" w:hAnsi="Arial" w:cs="Arial"/>
          <w:bCs/>
          <w:i/>
          <w:sz w:val="24"/>
          <w:szCs w:val="24"/>
        </w:rPr>
        <w:t>.</w:t>
      </w:r>
      <w:r w:rsidR="008951E9">
        <w:rPr>
          <w:rFonts w:ascii="Arial" w:hAnsi="Arial" w:cs="Arial"/>
          <w:bCs/>
          <w:i/>
          <w:sz w:val="24"/>
          <w:szCs w:val="24"/>
        </w:rPr>
        <w:t xml:space="preserve"> На основе анализа сделан вывод, что </w:t>
      </w:r>
      <w:r w:rsidR="008951E9" w:rsidRPr="008951E9">
        <w:rPr>
          <w:rFonts w:ascii="Arial" w:hAnsi="Arial" w:cs="Arial"/>
          <w:bCs/>
          <w:i/>
          <w:sz w:val="24"/>
          <w:szCs w:val="24"/>
        </w:rPr>
        <w:t>в целом наметилась тенденция к повышению уровня жизни населения</w:t>
      </w:r>
      <w:r w:rsidR="008951E9">
        <w:rPr>
          <w:rFonts w:ascii="Arial" w:hAnsi="Arial" w:cs="Arial"/>
          <w:bCs/>
          <w:i/>
          <w:sz w:val="24"/>
          <w:szCs w:val="24"/>
        </w:rPr>
        <w:t>.</w:t>
      </w:r>
    </w:p>
    <w:p w:rsidR="008951E9" w:rsidRDefault="008951E9" w:rsidP="001111A3">
      <w:pPr>
        <w:spacing w:line="240" w:lineRule="auto"/>
        <w:ind w:firstLine="709"/>
        <w:jc w:val="both"/>
        <w:rPr>
          <w:rFonts w:ascii="Arial" w:hAnsi="Arial" w:cs="Arial"/>
          <w:bCs/>
          <w:i/>
          <w:sz w:val="24"/>
          <w:szCs w:val="24"/>
        </w:rPr>
      </w:pPr>
      <w:r w:rsidRPr="00D9371A">
        <w:rPr>
          <w:rFonts w:ascii="Arial" w:hAnsi="Arial" w:cs="Arial"/>
          <w:b/>
          <w:bCs/>
          <w:i/>
          <w:sz w:val="24"/>
          <w:szCs w:val="24"/>
        </w:rPr>
        <w:t>Ключевые слова:</w:t>
      </w:r>
      <w:r>
        <w:rPr>
          <w:rFonts w:ascii="Arial" w:hAnsi="Arial" w:cs="Arial"/>
          <w:b/>
          <w:bCs/>
          <w:i/>
          <w:sz w:val="24"/>
          <w:szCs w:val="24"/>
        </w:rPr>
        <w:t xml:space="preserve"> </w:t>
      </w:r>
      <w:r>
        <w:rPr>
          <w:rFonts w:ascii="Arial" w:hAnsi="Arial" w:cs="Arial"/>
          <w:bCs/>
          <w:i/>
          <w:sz w:val="24"/>
          <w:szCs w:val="24"/>
        </w:rPr>
        <w:t>уровень жизни населения, ВВП, денежные доходы и расходы населения, сбережения населения.</w:t>
      </w:r>
    </w:p>
    <w:p w:rsidR="008951E9" w:rsidRPr="00942434" w:rsidRDefault="008951E9" w:rsidP="001111A3">
      <w:pPr>
        <w:spacing w:line="240" w:lineRule="auto"/>
        <w:ind w:firstLine="709"/>
        <w:jc w:val="both"/>
        <w:rPr>
          <w:rFonts w:ascii="Arial" w:hAnsi="Arial" w:cs="Arial"/>
          <w:bCs/>
          <w:i/>
          <w:sz w:val="24"/>
          <w:szCs w:val="24"/>
        </w:rPr>
      </w:pPr>
    </w:p>
    <w:p w:rsidR="008951E9" w:rsidRPr="00942434" w:rsidRDefault="008951E9" w:rsidP="00942434">
      <w:pPr>
        <w:spacing w:after="0" w:line="240" w:lineRule="auto"/>
        <w:ind w:firstLine="709"/>
        <w:jc w:val="right"/>
        <w:rPr>
          <w:rFonts w:ascii="Arial" w:hAnsi="Arial" w:cs="Arial"/>
          <w:bCs/>
          <w:i/>
          <w:sz w:val="24"/>
          <w:szCs w:val="24"/>
          <w:lang w:val="en-US"/>
        </w:rPr>
      </w:pPr>
      <w:r w:rsidRPr="00942434">
        <w:rPr>
          <w:rFonts w:ascii="Arial" w:hAnsi="Arial" w:cs="Arial"/>
          <w:bCs/>
          <w:i/>
          <w:sz w:val="24"/>
          <w:szCs w:val="24"/>
          <w:lang w:val="en-US"/>
        </w:rPr>
        <w:t>Yakushev, Natalia Igorevna</w:t>
      </w:r>
    </w:p>
    <w:p w:rsidR="008951E9" w:rsidRPr="00942434" w:rsidRDefault="008951E9" w:rsidP="00942434">
      <w:pPr>
        <w:spacing w:after="0" w:line="240" w:lineRule="auto"/>
        <w:ind w:firstLine="709"/>
        <w:jc w:val="right"/>
        <w:rPr>
          <w:rFonts w:ascii="Arial" w:hAnsi="Arial" w:cs="Arial"/>
          <w:bCs/>
          <w:i/>
          <w:sz w:val="24"/>
          <w:szCs w:val="24"/>
          <w:lang w:val="en-US"/>
        </w:rPr>
      </w:pPr>
      <w:r w:rsidRPr="00942434">
        <w:rPr>
          <w:rFonts w:ascii="Arial" w:hAnsi="Arial" w:cs="Arial"/>
          <w:bCs/>
          <w:i/>
          <w:sz w:val="24"/>
          <w:szCs w:val="24"/>
          <w:lang w:val="en-US"/>
        </w:rPr>
        <w:t>2 course, economist, Department of Economics and trade</w:t>
      </w:r>
    </w:p>
    <w:p w:rsidR="008951E9" w:rsidRPr="00942434" w:rsidRDefault="008951E9" w:rsidP="00942434">
      <w:pPr>
        <w:spacing w:after="0" w:line="240" w:lineRule="auto"/>
        <w:ind w:firstLine="709"/>
        <w:jc w:val="right"/>
        <w:rPr>
          <w:rFonts w:ascii="Arial" w:hAnsi="Arial" w:cs="Arial"/>
          <w:bCs/>
          <w:i/>
          <w:sz w:val="24"/>
          <w:szCs w:val="24"/>
          <w:lang w:val="en-US"/>
        </w:rPr>
      </w:pPr>
      <w:r w:rsidRPr="00942434">
        <w:rPr>
          <w:rFonts w:ascii="Arial" w:hAnsi="Arial" w:cs="Arial"/>
          <w:bCs/>
          <w:i/>
          <w:sz w:val="24"/>
          <w:szCs w:val="24"/>
          <w:lang w:val="en-US"/>
        </w:rPr>
        <w:t>Russian University of Economics. G. V. Plekhanov</w:t>
      </w:r>
    </w:p>
    <w:p w:rsidR="008951E9" w:rsidRPr="00942434" w:rsidRDefault="008951E9" w:rsidP="00942434">
      <w:pPr>
        <w:spacing w:after="0" w:line="240" w:lineRule="auto"/>
        <w:ind w:firstLine="709"/>
        <w:jc w:val="right"/>
        <w:rPr>
          <w:rFonts w:ascii="Arial" w:hAnsi="Arial" w:cs="Arial"/>
          <w:bCs/>
          <w:i/>
          <w:sz w:val="24"/>
          <w:szCs w:val="24"/>
          <w:lang w:val="en-US"/>
        </w:rPr>
      </w:pPr>
      <w:r w:rsidRPr="00942434">
        <w:rPr>
          <w:rFonts w:ascii="Arial" w:hAnsi="Arial" w:cs="Arial"/>
          <w:bCs/>
          <w:i/>
          <w:sz w:val="24"/>
          <w:szCs w:val="24"/>
          <w:lang w:val="en-US"/>
        </w:rPr>
        <w:t>Smolensk branch.</w:t>
      </w:r>
    </w:p>
    <w:p w:rsidR="008951E9" w:rsidRPr="00942434" w:rsidRDefault="008951E9" w:rsidP="00942434">
      <w:pPr>
        <w:spacing w:after="0" w:line="240" w:lineRule="auto"/>
        <w:ind w:firstLine="709"/>
        <w:jc w:val="right"/>
        <w:rPr>
          <w:rFonts w:ascii="Arial" w:hAnsi="Arial" w:cs="Arial"/>
          <w:bCs/>
          <w:i/>
          <w:sz w:val="24"/>
          <w:szCs w:val="24"/>
          <w:lang w:val="en-US"/>
        </w:rPr>
      </w:pPr>
      <w:r w:rsidRPr="00942434">
        <w:rPr>
          <w:rFonts w:ascii="Arial" w:hAnsi="Arial" w:cs="Arial"/>
          <w:bCs/>
          <w:i/>
          <w:sz w:val="24"/>
          <w:szCs w:val="24"/>
          <w:lang w:val="en-US"/>
        </w:rPr>
        <w:t xml:space="preserve">Supervisor: Yarotskaya </w:t>
      </w:r>
      <w:r w:rsidR="00942434" w:rsidRPr="00942434">
        <w:rPr>
          <w:rFonts w:ascii="Arial" w:hAnsi="Arial" w:cs="Arial"/>
          <w:bCs/>
          <w:i/>
          <w:sz w:val="24"/>
          <w:szCs w:val="24"/>
          <w:lang w:val="en-US"/>
        </w:rPr>
        <w:t>Elena Vladimirovna</w:t>
      </w:r>
    </w:p>
    <w:p w:rsidR="008951E9" w:rsidRPr="00942434" w:rsidRDefault="008951E9" w:rsidP="00942434">
      <w:pPr>
        <w:spacing w:after="0" w:line="240" w:lineRule="auto"/>
        <w:ind w:firstLine="709"/>
        <w:jc w:val="right"/>
        <w:rPr>
          <w:rFonts w:ascii="Arial" w:hAnsi="Arial" w:cs="Arial"/>
          <w:bCs/>
          <w:i/>
          <w:sz w:val="24"/>
          <w:szCs w:val="24"/>
          <w:u w:val="single"/>
          <w:lang w:val="en-US"/>
        </w:rPr>
      </w:pPr>
      <w:r w:rsidRPr="00942434">
        <w:rPr>
          <w:rFonts w:ascii="Arial" w:hAnsi="Arial" w:cs="Arial"/>
          <w:bCs/>
          <w:i/>
          <w:sz w:val="24"/>
          <w:szCs w:val="24"/>
          <w:u w:val="single"/>
          <w:lang w:val="en-US"/>
        </w:rPr>
        <w:t>nata200199@yandex.ru</w:t>
      </w:r>
    </w:p>
    <w:p w:rsidR="008951E9" w:rsidRPr="008951E9" w:rsidRDefault="008951E9" w:rsidP="008951E9">
      <w:pPr>
        <w:spacing w:line="240" w:lineRule="auto"/>
        <w:ind w:firstLine="709"/>
        <w:jc w:val="right"/>
        <w:rPr>
          <w:rFonts w:ascii="Arial" w:hAnsi="Arial" w:cs="Arial"/>
          <w:b/>
          <w:bCs/>
          <w:i/>
          <w:sz w:val="24"/>
          <w:szCs w:val="24"/>
          <w:lang w:val="en-US"/>
        </w:rPr>
      </w:pPr>
    </w:p>
    <w:p w:rsidR="008951E9" w:rsidRPr="008951E9" w:rsidRDefault="008951E9" w:rsidP="00942434">
      <w:pPr>
        <w:spacing w:line="240" w:lineRule="auto"/>
        <w:ind w:firstLine="709"/>
        <w:jc w:val="center"/>
        <w:rPr>
          <w:rFonts w:ascii="Arial" w:hAnsi="Arial" w:cs="Arial"/>
          <w:b/>
          <w:bCs/>
          <w:i/>
          <w:sz w:val="24"/>
          <w:szCs w:val="24"/>
          <w:lang w:val="en-US"/>
        </w:rPr>
      </w:pPr>
      <w:r w:rsidRPr="008951E9">
        <w:rPr>
          <w:rFonts w:ascii="Arial" w:hAnsi="Arial" w:cs="Arial"/>
          <w:b/>
          <w:bCs/>
          <w:i/>
          <w:sz w:val="24"/>
          <w:szCs w:val="24"/>
          <w:lang w:val="en-US"/>
        </w:rPr>
        <w:t>System of indicators of living standards of the population of Russia: analysis and system of indicators</w:t>
      </w:r>
    </w:p>
    <w:p w:rsidR="00942434" w:rsidRPr="00942434" w:rsidRDefault="008951E9" w:rsidP="00942434">
      <w:pPr>
        <w:spacing w:line="240" w:lineRule="auto"/>
        <w:ind w:firstLine="709"/>
        <w:jc w:val="both"/>
        <w:rPr>
          <w:rFonts w:ascii="Arial" w:hAnsi="Arial" w:cs="Arial"/>
          <w:bCs/>
          <w:i/>
          <w:sz w:val="24"/>
          <w:szCs w:val="24"/>
          <w:lang w:val="en-US"/>
        </w:rPr>
      </w:pPr>
      <w:r w:rsidRPr="00942434">
        <w:rPr>
          <w:rFonts w:ascii="Arial" w:hAnsi="Arial" w:cs="Arial"/>
          <w:b/>
          <w:bCs/>
          <w:i/>
          <w:sz w:val="24"/>
          <w:szCs w:val="24"/>
          <w:lang w:val="en-US"/>
        </w:rPr>
        <w:t>Abstract:</w:t>
      </w:r>
      <w:r w:rsidRPr="00942434">
        <w:rPr>
          <w:rFonts w:ascii="Arial" w:hAnsi="Arial" w:cs="Arial"/>
          <w:bCs/>
          <w:i/>
          <w:sz w:val="24"/>
          <w:szCs w:val="24"/>
          <w:lang w:val="en-US"/>
        </w:rPr>
        <w:t xml:space="preserve"> The article aims to consider the statistical analysis of living standards in Russia. It is shown that the modern standard of living of the population depends on the level of GDP, consumer price index, demographic situation, level of economic development, spiritual development, environmental situation, housing</w:t>
      </w:r>
      <w:r w:rsidR="00942434" w:rsidRPr="00942434">
        <w:rPr>
          <w:rFonts w:ascii="Arial" w:hAnsi="Arial" w:cs="Arial"/>
          <w:bCs/>
          <w:i/>
          <w:sz w:val="24"/>
          <w:szCs w:val="24"/>
          <w:lang w:val="en-US"/>
        </w:rPr>
        <w:t xml:space="preserve"> and production conditions, the volume and quality of consumer goods. On the basis of the analysis it is concluded that in General there is a tendency to increase the standard of living of the population.</w:t>
      </w:r>
    </w:p>
    <w:p w:rsidR="008951E9" w:rsidRPr="002C4D3E" w:rsidRDefault="00942434" w:rsidP="00942434">
      <w:pPr>
        <w:spacing w:line="240" w:lineRule="auto"/>
        <w:ind w:firstLine="709"/>
        <w:jc w:val="both"/>
        <w:rPr>
          <w:rFonts w:ascii="Arial" w:hAnsi="Arial" w:cs="Arial"/>
          <w:bCs/>
          <w:i/>
          <w:sz w:val="24"/>
          <w:szCs w:val="24"/>
          <w:lang w:val="en-US"/>
        </w:rPr>
      </w:pPr>
      <w:r w:rsidRPr="00942434">
        <w:rPr>
          <w:rFonts w:ascii="Arial" w:hAnsi="Arial" w:cs="Arial"/>
          <w:b/>
          <w:bCs/>
          <w:i/>
          <w:sz w:val="24"/>
          <w:szCs w:val="24"/>
          <w:lang w:val="en-US"/>
        </w:rPr>
        <w:t>Key words:</w:t>
      </w:r>
      <w:r w:rsidRPr="00942434">
        <w:rPr>
          <w:rFonts w:ascii="Arial" w:hAnsi="Arial" w:cs="Arial"/>
          <w:bCs/>
          <w:i/>
          <w:sz w:val="24"/>
          <w:szCs w:val="24"/>
          <w:lang w:val="en-US"/>
        </w:rPr>
        <w:t xml:space="preserve"> standard of living of the population, GDP, monetary incomes and expenses of the population, savings of the population.</w:t>
      </w:r>
    </w:p>
    <w:p w:rsidR="00942434" w:rsidRPr="002C4D3E" w:rsidRDefault="00942434" w:rsidP="00942434">
      <w:pPr>
        <w:spacing w:line="240" w:lineRule="auto"/>
        <w:ind w:firstLine="709"/>
        <w:jc w:val="both"/>
        <w:rPr>
          <w:rFonts w:ascii="Arial" w:hAnsi="Arial" w:cs="Arial"/>
          <w:bCs/>
          <w:i/>
          <w:sz w:val="24"/>
          <w:szCs w:val="24"/>
          <w:lang w:val="en-US"/>
        </w:rPr>
      </w:pPr>
    </w:p>
    <w:p w:rsidR="00C12264" w:rsidRPr="002C4D3E" w:rsidRDefault="00C12264" w:rsidP="00942434">
      <w:pPr>
        <w:spacing w:line="240" w:lineRule="auto"/>
        <w:ind w:firstLine="709"/>
        <w:jc w:val="both"/>
        <w:rPr>
          <w:rFonts w:ascii="Arial" w:hAnsi="Arial" w:cs="Arial"/>
          <w:bCs/>
          <w:i/>
          <w:sz w:val="24"/>
          <w:szCs w:val="24"/>
          <w:lang w:val="en-US"/>
        </w:rPr>
      </w:pPr>
    </w:p>
    <w:p w:rsidR="00892C4B" w:rsidRDefault="00C12264" w:rsidP="00942434">
      <w:pPr>
        <w:spacing w:line="240" w:lineRule="auto"/>
        <w:ind w:firstLine="709"/>
        <w:jc w:val="both"/>
        <w:rPr>
          <w:rFonts w:ascii="Arial" w:hAnsi="Arial" w:cs="Arial"/>
          <w:bCs/>
          <w:sz w:val="24"/>
          <w:szCs w:val="24"/>
        </w:rPr>
      </w:pPr>
      <w:r>
        <w:rPr>
          <w:rFonts w:ascii="Arial" w:hAnsi="Arial" w:cs="Arial"/>
          <w:bCs/>
          <w:sz w:val="24"/>
          <w:szCs w:val="24"/>
        </w:rPr>
        <w:t xml:space="preserve">В России ВВП претерпевал спад на протяжении двух лет, однако, в 2017 году он, наконец, достиг 1,5%. </w:t>
      </w:r>
      <w:r w:rsidRPr="00C12264">
        <w:rPr>
          <w:rFonts w:ascii="Arial" w:hAnsi="Arial" w:cs="Arial"/>
          <w:bCs/>
          <w:sz w:val="24"/>
          <w:szCs w:val="24"/>
        </w:rPr>
        <w:t>Индекс потребительских цен достиг рекордно низкого значения в 2,5%, что оказалось существенно ниже даже самых смелых прогнозов.</w:t>
      </w:r>
      <w:r>
        <w:rPr>
          <w:rFonts w:ascii="Arial" w:hAnsi="Arial" w:cs="Arial"/>
          <w:bCs/>
          <w:sz w:val="24"/>
          <w:szCs w:val="24"/>
        </w:rPr>
        <w:t xml:space="preserve"> </w:t>
      </w:r>
      <w:r w:rsidRPr="00C12264">
        <w:rPr>
          <w:rFonts w:ascii="Arial" w:hAnsi="Arial" w:cs="Arial"/>
          <w:bCs/>
          <w:sz w:val="24"/>
          <w:szCs w:val="24"/>
        </w:rPr>
        <w:t>Выросла и средняя номинальная начисленная заработная плата на 6,6%, а темпы падения реальных располагаемых доходов населения снизились до -1,1%.</w:t>
      </w:r>
      <w:r w:rsidR="00892C4B">
        <w:rPr>
          <w:rFonts w:ascii="Arial" w:hAnsi="Arial" w:cs="Arial"/>
          <w:bCs/>
          <w:sz w:val="24"/>
          <w:szCs w:val="24"/>
        </w:rPr>
        <w:t xml:space="preserve"> </w:t>
      </w:r>
    </w:p>
    <w:p w:rsidR="00C12264" w:rsidRDefault="00892C4B" w:rsidP="00942434">
      <w:pPr>
        <w:spacing w:line="240" w:lineRule="auto"/>
        <w:ind w:firstLine="709"/>
        <w:jc w:val="both"/>
        <w:rPr>
          <w:rFonts w:ascii="Arial" w:hAnsi="Arial" w:cs="Arial"/>
          <w:bCs/>
          <w:sz w:val="24"/>
          <w:szCs w:val="24"/>
        </w:rPr>
      </w:pPr>
      <w:r>
        <w:rPr>
          <w:rFonts w:ascii="Arial" w:hAnsi="Arial" w:cs="Arial"/>
          <w:bCs/>
          <w:sz w:val="24"/>
          <w:szCs w:val="24"/>
        </w:rPr>
        <w:lastRenderedPageBreak/>
        <w:t xml:space="preserve">Всё это отразилось в </w:t>
      </w:r>
      <w:r w:rsidRPr="00892C4B">
        <w:rPr>
          <w:rFonts w:ascii="Arial" w:hAnsi="Arial" w:cs="Arial"/>
          <w:bCs/>
          <w:sz w:val="24"/>
          <w:szCs w:val="24"/>
        </w:rPr>
        <w:t>рейтинг</w:t>
      </w:r>
      <w:r>
        <w:rPr>
          <w:rFonts w:ascii="Arial" w:hAnsi="Arial" w:cs="Arial"/>
          <w:bCs/>
          <w:sz w:val="24"/>
          <w:szCs w:val="24"/>
        </w:rPr>
        <w:t>е</w:t>
      </w:r>
      <w:r w:rsidRPr="00892C4B">
        <w:rPr>
          <w:rFonts w:ascii="Arial" w:hAnsi="Arial" w:cs="Arial"/>
          <w:bCs/>
          <w:sz w:val="24"/>
          <w:szCs w:val="24"/>
        </w:rPr>
        <w:t xml:space="preserve"> регионов по уровню благосостояния семей по итогам 2017 года</w:t>
      </w:r>
      <w:r>
        <w:rPr>
          <w:rFonts w:ascii="Arial" w:hAnsi="Arial" w:cs="Arial"/>
          <w:bCs/>
          <w:sz w:val="24"/>
          <w:szCs w:val="24"/>
        </w:rPr>
        <w:t>.</w:t>
      </w:r>
    </w:p>
    <w:p w:rsidR="00892C4B" w:rsidRDefault="00892C4B" w:rsidP="00942434">
      <w:pPr>
        <w:spacing w:line="240" w:lineRule="auto"/>
        <w:ind w:firstLine="709"/>
        <w:jc w:val="both"/>
        <w:rPr>
          <w:rFonts w:ascii="Arial" w:hAnsi="Arial" w:cs="Arial"/>
          <w:bCs/>
          <w:sz w:val="24"/>
          <w:szCs w:val="24"/>
        </w:rPr>
      </w:pPr>
      <w:r>
        <w:rPr>
          <w:rFonts w:ascii="Arial" w:hAnsi="Arial" w:cs="Arial"/>
          <w:bCs/>
          <w:sz w:val="24"/>
          <w:szCs w:val="24"/>
        </w:rPr>
        <w:t xml:space="preserve">Таблица 1. </w:t>
      </w:r>
      <w:r w:rsidRPr="00892C4B">
        <w:rPr>
          <w:rFonts w:ascii="Arial" w:hAnsi="Arial" w:cs="Arial"/>
          <w:bCs/>
          <w:sz w:val="24"/>
          <w:szCs w:val="24"/>
        </w:rPr>
        <w:t>Рейтинг регионов по уровню жизни семей</w:t>
      </w:r>
    </w:p>
    <w:tbl>
      <w:tblPr>
        <w:tblStyle w:val="a4"/>
        <w:tblW w:w="0" w:type="auto"/>
        <w:tblLook w:val="04A0" w:firstRow="1" w:lastRow="0" w:firstColumn="1" w:lastColumn="0" w:noHBand="0" w:noVBand="1"/>
      </w:tblPr>
      <w:tblGrid>
        <w:gridCol w:w="961"/>
        <w:gridCol w:w="961"/>
        <w:gridCol w:w="3915"/>
        <w:gridCol w:w="1589"/>
        <w:gridCol w:w="1590"/>
      </w:tblGrid>
      <w:tr w:rsidR="007D5A39" w:rsidRPr="007D5A39" w:rsidTr="00F47818">
        <w:tc>
          <w:tcPr>
            <w:tcW w:w="1922" w:type="dxa"/>
            <w:gridSpan w:val="2"/>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Место</w:t>
            </w:r>
          </w:p>
        </w:tc>
        <w:tc>
          <w:tcPr>
            <w:tcW w:w="3915" w:type="dxa"/>
            <w:vMerge w:val="restart"/>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Регион</w:t>
            </w:r>
          </w:p>
        </w:tc>
        <w:tc>
          <w:tcPr>
            <w:tcW w:w="3179" w:type="dxa"/>
            <w:gridSpan w:val="2"/>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Семьи после минимальных расходов, руб. в мес. в 2017г.</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2017г.</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2016г.</w:t>
            </w:r>
          </w:p>
        </w:tc>
        <w:tc>
          <w:tcPr>
            <w:tcW w:w="3915" w:type="dxa"/>
            <w:vMerge/>
          </w:tcPr>
          <w:p w:rsidR="007D5A39" w:rsidRPr="007D5A39" w:rsidRDefault="007D5A39" w:rsidP="007D5A39">
            <w:pPr>
              <w:spacing w:after="0" w:line="240" w:lineRule="auto"/>
              <w:jc w:val="center"/>
              <w:rPr>
                <w:rFonts w:ascii="Arial" w:eastAsia="Times New Roman" w:hAnsi="Arial" w:cs="Arial"/>
                <w:sz w:val="24"/>
                <w:szCs w:val="24"/>
              </w:rPr>
            </w:pP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Двое детей</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Один ребенок</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Ямало-Ненецкий автономный округ</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114 760</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130 555</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2</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2</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Чукотский автономный округ</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100 896</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122 179</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3</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3</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г. Москва</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83 026</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96 759</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4</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4</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Сахалинская область</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79 812</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94 360</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5</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Магаданская область</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74 142</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93 095</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6</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5</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Ханты-Мансийский автономный округ – Югра</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73 808</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87 877</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8</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г. Санкт-Петербург</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64 396</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74 745</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8</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6</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Ненецкий автономный округ</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61 000</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82 945</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9</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9</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Республика Саха (Якутия)</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54 956</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71 938</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10</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12</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Камчатский край</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49 456</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70 408</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11</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11</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Московская область</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44 813</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56 179</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12</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10</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Мурманская область</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43 956</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58 606</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13</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15</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Республика Коми</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39 370</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51 882</w:t>
            </w:r>
          </w:p>
        </w:tc>
      </w:tr>
      <w:tr w:rsidR="007D5A39" w:rsidRPr="007D5A39" w:rsidTr="00F47818">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14</w:t>
            </w:r>
          </w:p>
        </w:tc>
        <w:tc>
          <w:tcPr>
            <w:tcW w:w="961"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14</w:t>
            </w:r>
          </w:p>
        </w:tc>
        <w:tc>
          <w:tcPr>
            <w:tcW w:w="3915"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Ленинградская область</w:t>
            </w:r>
          </w:p>
        </w:tc>
        <w:tc>
          <w:tcPr>
            <w:tcW w:w="1589"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38 738</w:t>
            </w:r>
          </w:p>
        </w:tc>
        <w:tc>
          <w:tcPr>
            <w:tcW w:w="1590" w:type="dxa"/>
          </w:tcPr>
          <w:p w:rsidR="007D5A39" w:rsidRPr="007D5A39" w:rsidRDefault="007D5A39" w:rsidP="007D5A39">
            <w:pPr>
              <w:spacing w:after="0" w:line="240" w:lineRule="auto"/>
              <w:jc w:val="center"/>
              <w:rPr>
                <w:rFonts w:ascii="Arial" w:eastAsia="Times New Roman" w:hAnsi="Arial" w:cs="Arial"/>
                <w:sz w:val="24"/>
                <w:szCs w:val="24"/>
              </w:rPr>
            </w:pPr>
            <w:r w:rsidRPr="007D5A39">
              <w:rPr>
                <w:rFonts w:ascii="Arial" w:eastAsia="Times New Roman" w:hAnsi="Arial" w:cs="Arial"/>
                <w:sz w:val="24"/>
                <w:szCs w:val="24"/>
              </w:rPr>
              <w:t>48 036</w:t>
            </w:r>
          </w:p>
        </w:tc>
      </w:tr>
    </w:tbl>
    <w:p w:rsidR="00892C4B" w:rsidRDefault="00892C4B" w:rsidP="00942434">
      <w:pPr>
        <w:spacing w:line="240" w:lineRule="auto"/>
        <w:ind w:firstLine="709"/>
        <w:jc w:val="both"/>
        <w:rPr>
          <w:rFonts w:ascii="Arial" w:hAnsi="Arial" w:cs="Arial"/>
          <w:bCs/>
          <w:sz w:val="24"/>
          <w:szCs w:val="24"/>
        </w:rPr>
      </w:pPr>
    </w:p>
    <w:p w:rsidR="00892C4B" w:rsidRDefault="00892C4B" w:rsidP="00942434">
      <w:pPr>
        <w:spacing w:line="240" w:lineRule="auto"/>
        <w:ind w:firstLine="709"/>
        <w:jc w:val="both"/>
        <w:rPr>
          <w:rFonts w:ascii="Arial" w:hAnsi="Arial" w:cs="Arial"/>
          <w:bCs/>
          <w:sz w:val="24"/>
          <w:szCs w:val="24"/>
        </w:rPr>
      </w:pPr>
      <w:r>
        <w:rPr>
          <w:rFonts w:ascii="Arial" w:hAnsi="Arial" w:cs="Arial"/>
          <w:bCs/>
          <w:sz w:val="24"/>
          <w:szCs w:val="24"/>
        </w:rPr>
        <w:t xml:space="preserve">Рейтинг рассчитывался исходя из остатков денежных средств семей, то есть </w:t>
      </w:r>
      <w:r w:rsidR="007D5A39">
        <w:rPr>
          <w:rFonts w:ascii="Arial" w:hAnsi="Arial" w:cs="Arial"/>
          <w:bCs/>
          <w:sz w:val="24"/>
          <w:szCs w:val="24"/>
        </w:rPr>
        <w:t>заработной платы за вычетом минимальных расходов на основе данных Росстата.</w:t>
      </w:r>
    </w:p>
    <w:p w:rsidR="007D5A39" w:rsidRDefault="007D5A39" w:rsidP="00942434">
      <w:pPr>
        <w:spacing w:line="240" w:lineRule="auto"/>
        <w:ind w:firstLine="709"/>
        <w:jc w:val="both"/>
        <w:rPr>
          <w:rFonts w:ascii="Arial" w:hAnsi="Arial" w:cs="Arial"/>
          <w:bCs/>
          <w:sz w:val="24"/>
          <w:szCs w:val="24"/>
        </w:rPr>
      </w:pPr>
      <w:r>
        <w:rPr>
          <w:rFonts w:ascii="Arial" w:hAnsi="Arial" w:cs="Arial"/>
          <w:bCs/>
          <w:sz w:val="24"/>
          <w:szCs w:val="24"/>
        </w:rPr>
        <w:t>Исходя из сведений данного рейтинга, благосостояние семей выросло и</w:t>
      </w:r>
      <w:r w:rsidR="00096860">
        <w:rPr>
          <w:rFonts w:ascii="Arial" w:hAnsi="Arial" w:cs="Arial"/>
          <w:bCs/>
          <w:sz w:val="24"/>
          <w:szCs w:val="24"/>
        </w:rPr>
        <w:t>,</w:t>
      </w:r>
      <w:r>
        <w:rPr>
          <w:rFonts w:ascii="Arial" w:hAnsi="Arial" w:cs="Arial"/>
          <w:bCs/>
          <w:sz w:val="24"/>
          <w:szCs w:val="24"/>
        </w:rPr>
        <w:t xml:space="preserve"> в большинстве регионов</w:t>
      </w:r>
      <w:r w:rsidR="00096860">
        <w:rPr>
          <w:rFonts w:ascii="Arial" w:hAnsi="Arial" w:cs="Arial"/>
          <w:bCs/>
          <w:sz w:val="24"/>
          <w:szCs w:val="24"/>
        </w:rPr>
        <w:t>,</w:t>
      </w:r>
      <w:r>
        <w:rPr>
          <w:rFonts w:ascii="Arial" w:hAnsi="Arial" w:cs="Arial"/>
          <w:bCs/>
          <w:sz w:val="24"/>
          <w:szCs w:val="24"/>
        </w:rPr>
        <w:t xml:space="preserve"> увеличился объем свободных денег.</w:t>
      </w:r>
      <w:r w:rsidR="00096860">
        <w:rPr>
          <w:rFonts w:ascii="Arial" w:hAnsi="Arial" w:cs="Arial"/>
          <w:bCs/>
          <w:sz w:val="24"/>
          <w:szCs w:val="24"/>
        </w:rPr>
        <w:t xml:space="preserve"> Однако</w:t>
      </w:r>
      <w:r w:rsidR="00096860" w:rsidRPr="00096860">
        <w:rPr>
          <w:rFonts w:ascii="Arial" w:hAnsi="Arial" w:cs="Arial"/>
          <w:bCs/>
          <w:sz w:val="24"/>
          <w:szCs w:val="24"/>
        </w:rPr>
        <w:t xml:space="preserve"> раз</w:t>
      </w:r>
      <w:r w:rsidR="00096860">
        <w:rPr>
          <w:rFonts w:ascii="Arial" w:hAnsi="Arial" w:cs="Arial"/>
          <w:bCs/>
          <w:sz w:val="24"/>
          <w:szCs w:val="24"/>
        </w:rPr>
        <w:t>ница</w:t>
      </w:r>
      <w:r w:rsidR="00096860" w:rsidRPr="00096860">
        <w:rPr>
          <w:rFonts w:ascii="Arial" w:hAnsi="Arial" w:cs="Arial"/>
          <w:bCs/>
          <w:sz w:val="24"/>
          <w:szCs w:val="24"/>
        </w:rPr>
        <w:t xml:space="preserve"> между материальным положением богатых и бедных регионов по-прежнему огромн</w:t>
      </w:r>
      <w:r w:rsidR="00096860">
        <w:rPr>
          <w:rFonts w:ascii="Arial" w:hAnsi="Arial" w:cs="Arial"/>
          <w:bCs/>
          <w:sz w:val="24"/>
          <w:szCs w:val="24"/>
        </w:rPr>
        <w:t>а</w:t>
      </w:r>
      <w:r w:rsidR="00096860" w:rsidRPr="00096860">
        <w:rPr>
          <w:rFonts w:ascii="Arial" w:hAnsi="Arial" w:cs="Arial"/>
          <w:bCs/>
          <w:sz w:val="24"/>
          <w:szCs w:val="24"/>
        </w:rPr>
        <w:t xml:space="preserve"> и продолжа</w:t>
      </w:r>
      <w:r w:rsidR="00096860">
        <w:rPr>
          <w:rFonts w:ascii="Arial" w:hAnsi="Arial" w:cs="Arial"/>
          <w:bCs/>
          <w:sz w:val="24"/>
          <w:szCs w:val="24"/>
        </w:rPr>
        <w:t>е</w:t>
      </w:r>
      <w:r w:rsidR="00096860" w:rsidRPr="00096860">
        <w:rPr>
          <w:rFonts w:ascii="Arial" w:hAnsi="Arial" w:cs="Arial"/>
          <w:bCs/>
          <w:sz w:val="24"/>
          <w:szCs w:val="24"/>
        </w:rPr>
        <w:t>т увеличиваться.</w:t>
      </w:r>
    </w:p>
    <w:p w:rsidR="0055310C" w:rsidRDefault="00096860" w:rsidP="0072128D">
      <w:pPr>
        <w:spacing w:line="240" w:lineRule="auto"/>
        <w:ind w:firstLine="709"/>
        <w:jc w:val="both"/>
        <w:rPr>
          <w:rFonts w:ascii="Arial" w:hAnsi="Arial" w:cs="Arial"/>
          <w:sz w:val="24"/>
          <w:szCs w:val="24"/>
        </w:rPr>
      </w:pPr>
      <w:r>
        <w:rPr>
          <w:rFonts w:ascii="Arial" w:hAnsi="Arial" w:cs="Arial"/>
          <w:bCs/>
          <w:sz w:val="24"/>
          <w:szCs w:val="24"/>
        </w:rPr>
        <w:t xml:space="preserve">Среди регионов, занимающих первые десять мест в данном рейтинге, сильных изменений не произошло. Это, по-прежнему, регионы, занимающиеся добывающей промышленностью, где высокие заработные платы </w:t>
      </w:r>
      <w:r w:rsidRPr="002A08F7">
        <w:rPr>
          <w:rFonts w:ascii="Arial" w:hAnsi="Arial" w:cs="Arial"/>
          <w:sz w:val="24"/>
          <w:szCs w:val="24"/>
        </w:rPr>
        <w:t>–</w:t>
      </w:r>
      <w:r>
        <w:rPr>
          <w:rFonts w:ascii="Arial" w:hAnsi="Arial" w:cs="Arial"/>
          <w:sz w:val="24"/>
          <w:szCs w:val="24"/>
        </w:rPr>
        <w:t xml:space="preserve">  это компенсация за неблагоприятные условия труда в связи с климатическими особенно</w:t>
      </w:r>
      <w:r w:rsidR="008D7EC7">
        <w:rPr>
          <w:rFonts w:ascii="Arial" w:hAnsi="Arial" w:cs="Arial"/>
          <w:sz w:val="24"/>
          <w:szCs w:val="24"/>
        </w:rPr>
        <w:t xml:space="preserve">стями географического положения, и финансовые центры, где высокие цены, как и заработные платы, </w:t>
      </w:r>
      <w:r w:rsidR="008D7EC7" w:rsidRPr="002A08F7">
        <w:rPr>
          <w:rFonts w:ascii="Arial" w:hAnsi="Arial" w:cs="Arial"/>
          <w:sz w:val="24"/>
          <w:szCs w:val="24"/>
        </w:rPr>
        <w:t>–</w:t>
      </w:r>
      <w:r w:rsidR="008D7EC7">
        <w:rPr>
          <w:rFonts w:ascii="Arial" w:hAnsi="Arial" w:cs="Arial"/>
          <w:sz w:val="24"/>
          <w:szCs w:val="24"/>
        </w:rPr>
        <w:t xml:space="preserve"> закономерность.</w:t>
      </w:r>
    </w:p>
    <w:p w:rsidR="008D7EC7" w:rsidRDefault="0055310C" w:rsidP="00942434">
      <w:pPr>
        <w:spacing w:line="240" w:lineRule="auto"/>
        <w:ind w:firstLine="709"/>
        <w:jc w:val="both"/>
        <w:rPr>
          <w:rFonts w:ascii="Arial" w:hAnsi="Arial" w:cs="Arial"/>
          <w:bCs/>
          <w:sz w:val="24"/>
          <w:szCs w:val="24"/>
        </w:rPr>
      </w:pPr>
      <w:r>
        <w:rPr>
          <w:rFonts w:ascii="Arial" w:hAnsi="Arial" w:cs="Arial"/>
          <w:bCs/>
          <w:noProof/>
          <w:sz w:val="24"/>
          <w:szCs w:val="24"/>
          <w:lang w:eastAsia="ru-RU"/>
        </w:rPr>
        <w:drawing>
          <wp:inline distT="0" distB="0" distL="0" distR="0" wp14:anchorId="21713174" wp14:editId="0E82F9C6">
            <wp:extent cx="5486400" cy="14954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310C" w:rsidRDefault="0072128D" w:rsidP="00942434">
      <w:pPr>
        <w:spacing w:line="240" w:lineRule="auto"/>
        <w:ind w:firstLine="709"/>
        <w:jc w:val="both"/>
        <w:rPr>
          <w:rFonts w:ascii="Arial" w:hAnsi="Arial" w:cs="Arial"/>
          <w:bCs/>
          <w:sz w:val="24"/>
          <w:szCs w:val="24"/>
        </w:rPr>
      </w:pPr>
      <w:r>
        <w:rPr>
          <w:rFonts w:ascii="Arial" w:hAnsi="Arial" w:cs="Arial"/>
          <w:bCs/>
          <w:sz w:val="24"/>
          <w:szCs w:val="24"/>
        </w:rPr>
        <w:t xml:space="preserve">Рис. 1. Рост </w:t>
      </w:r>
      <w:r w:rsidRPr="0072128D">
        <w:rPr>
          <w:rFonts w:ascii="Arial" w:hAnsi="Arial" w:cs="Arial"/>
          <w:bCs/>
          <w:sz w:val="24"/>
          <w:szCs w:val="24"/>
        </w:rPr>
        <w:t>объем</w:t>
      </w:r>
      <w:r>
        <w:rPr>
          <w:rFonts w:ascii="Arial" w:hAnsi="Arial" w:cs="Arial"/>
          <w:bCs/>
          <w:sz w:val="24"/>
          <w:szCs w:val="24"/>
        </w:rPr>
        <w:t>а</w:t>
      </w:r>
      <w:r w:rsidRPr="0072128D">
        <w:rPr>
          <w:rFonts w:ascii="Arial" w:hAnsi="Arial" w:cs="Arial"/>
          <w:bCs/>
          <w:sz w:val="24"/>
          <w:szCs w:val="24"/>
        </w:rPr>
        <w:t xml:space="preserve"> свободных денег в семьях с двумя детьми</w:t>
      </w:r>
      <w:r>
        <w:rPr>
          <w:rFonts w:ascii="Arial" w:hAnsi="Arial" w:cs="Arial"/>
          <w:bCs/>
          <w:sz w:val="24"/>
          <w:szCs w:val="24"/>
        </w:rPr>
        <w:t>,%</w:t>
      </w:r>
    </w:p>
    <w:p w:rsidR="0072128D" w:rsidRDefault="0072128D" w:rsidP="00942434">
      <w:pPr>
        <w:spacing w:line="240" w:lineRule="auto"/>
        <w:ind w:firstLine="709"/>
        <w:jc w:val="both"/>
        <w:rPr>
          <w:rFonts w:ascii="Arial" w:hAnsi="Arial" w:cs="Arial"/>
          <w:bCs/>
          <w:sz w:val="24"/>
          <w:szCs w:val="24"/>
        </w:rPr>
      </w:pPr>
      <w:r>
        <w:rPr>
          <w:rFonts w:ascii="Arial" w:hAnsi="Arial" w:cs="Arial"/>
          <w:bCs/>
          <w:sz w:val="24"/>
          <w:szCs w:val="24"/>
        </w:rPr>
        <w:lastRenderedPageBreak/>
        <w:t>Исходя из диаграммы, можно сделать вывод, что в данных регионах значительно вырос объем свободных денег в семьях с двумя детьми. Однако, несмотря на внушительный рост объема свободных денежных средств, первым двум регионом изменить своих</w:t>
      </w:r>
      <w:r w:rsidR="008F4580">
        <w:rPr>
          <w:rFonts w:ascii="Arial" w:hAnsi="Arial" w:cs="Arial"/>
          <w:bCs/>
          <w:sz w:val="24"/>
          <w:szCs w:val="24"/>
        </w:rPr>
        <w:t xml:space="preserve"> позиций в рейтинге не помогло. За то Амурская область поднялась на 17 позиций в рейтинге благосостояния семей, а </w:t>
      </w:r>
      <w:r w:rsidR="008F4580" w:rsidRPr="008F4580">
        <w:rPr>
          <w:rFonts w:ascii="Arial" w:hAnsi="Arial" w:cs="Arial"/>
          <w:bCs/>
          <w:sz w:val="24"/>
          <w:szCs w:val="24"/>
        </w:rPr>
        <w:t>Еврейская автономная область – на 10</w:t>
      </w:r>
      <w:r w:rsidR="008F4580">
        <w:rPr>
          <w:rFonts w:ascii="Arial" w:hAnsi="Arial" w:cs="Arial"/>
          <w:bCs/>
          <w:sz w:val="24"/>
          <w:szCs w:val="24"/>
        </w:rPr>
        <w:t>.</w:t>
      </w:r>
    </w:p>
    <w:p w:rsidR="008F4580" w:rsidRDefault="008F4580" w:rsidP="00942434">
      <w:pPr>
        <w:spacing w:line="240" w:lineRule="auto"/>
        <w:ind w:firstLine="709"/>
        <w:jc w:val="both"/>
        <w:rPr>
          <w:rFonts w:ascii="Arial" w:hAnsi="Arial" w:cs="Arial"/>
          <w:bCs/>
          <w:sz w:val="24"/>
          <w:szCs w:val="24"/>
        </w:rPr>
      </w:pPr>
      <w:r>
        <w:rPr>
          <w:rFonts w:ascii="Arial" w:hAnsi="Arial" w:cs="Arial"/>
          <w:bCs/>
          <w:sz w:val="24"/>
          <w:szCs w:val="24"/>
        </w:rPr>
        <w:t>Стоит отметить, что, по сравнению с 2016 годом, регионов, в которых свободный денежный остаток семьи с двумя детьми выше среднего значения по стране в 36,6 тыс. рублей, по-прежнему только пятнадцать.</w:t>
      </w:r>
    </w:p>
    <w:p w:rsidR="008F4580" w:rsidRDefault="008F4580" w:rsidP="00942434">
      <w:pPr>
        <w:spacing w:line="240" w:lineRule="auto"/>
        <w:ind w:firstLine="709"/>
        <w:jc w:val="both"/>
        <w:rPr>
          <w:rFonts w:ascii="Arial" w:hAnsi="Arial" w:cs="Arial"/>
          <w:bCs/>
          <w:sz w:val="24"/>
          <w:szCs w:val="24"/>
        </w:rPr>
      </w:pPr>
      <w:r w:rsidRPr="008F4580">
        <w:rPr>
          <w:rFonts w:ascii="Arial" w:hAnsi="Arial" w:cs="Arial"/>
          <w:bCs/>
          <w:sz w:val="24"/>
          <w:szCs w:val="24"/>
        </w:rPr>
        <w:t>Число регионов с бедными семьями сократилось до 10</w:t>
      </w:r>
      <w:r>
        <w:rPr>
          <w:rFonts w:ascii="Arial" w:hAnsi="Arial" w:cs="Arial"/>
          <w:bCs/>
          <w:sz w:val="24"/>
          <w:szCs w:val="24"/>
        </w:rPr>
        <w:t>.</w:t>
      </w:r>
    </w:p>
    <w:p w:rsidR="008F4580" w:rsidRDefault="00F012B8" w:rsidP="00942434">
      <w:pPr>
        <w:spacing w:line="240" w:lineRule="auto"/>
        <w:ind w:firstLine="709"/>
        <w:jc w:val="both"/>
        <w:rPr>
          <w:rFonts w:ascii="Arial" w:hAnsi="Arial" w:cs="Arial"/>
          <w:bCs/>
          <w:sz w:val="24"/>
          <w:szCs w:val="24"/>
        </w:rPr>
      </w:pPr>
      <w:r>
        <w:rPr>
          <w:rFonts w:ascii="Arial" w:hAnsi="Arial" w:cs="Arial"/>
          <w:bCs/>
          <w:sz w:val="24"/>
          <w:szCs w:val="24"/>
        </w:rPr>
        <w:t>Исходя из итогов первого квартала 2018 года</w:t>
      </w:r>
      <w:r w:rsidR="00845AF8">
        <w:rPr>
          <w:rFonts w:ascii="Arial" w:hAnsi="Arial" w:cs="Arial"/>
          <w:bCs/>
          <w:sz w:val="24"/>
          <w:szCs w:val="24"/>
        </w:rPr>
        <w:t>,</w:t>
      </w:r>
      <w:r>
        <w:rPr>
          <w:rFonts w:ascii="Arial" w:hAnsi="Arial" w:cs="Arial"/>
          <w:bCs/>
          <w:sz w:val="24"/>
          <w:szCs w:val="24"/>
        </w:rPr>
        <w:t xml:space="preserve"> </w:t>
      </w:r>
      <w:r w:rsidR="00845AF8">
        <w:rPr>
          <w:rFonts w:ascii="Arial" w:hAnsi="Arial" w:cs="Arial"/>
          <w:bCs/>
          <w:sz w:val="24"/>
          <w:szCs w:val="24"/>
        </w:rPr>
        <w:t>помимо заработной платы выросли реальные денежные доходы населения, что, благодаря низкому уровню инфляции, ведет к росту благосостояния российских семей.</w:t>
      </w:r>
    </w:p>
    <w:p w:rsidR="0055310C" w:rsidRDefault="00845AF8" w:rsidP="00942434">
      <w:pPr>
        <w:spacing w:line="240" w:lineRule="auto"/>
        <w:ind w:firstLine="709"/>
        <w:jc w:val="both"/>
        <w:rPr>
          <w:rFonts w:ascii="Arial" w:hAnsi="Arial" w:cs="Arial"/>
          <w:bCs/>
          <w:sz w:val="24"/>
          <w:szCs w:val="24"/>
        </w:rPr>
      </w:pPr>
      <w:r>
        <w:rPr>
          <w:rFonts w:ascii="Arial" w:hAnsi="Arial" w:cs="Arial"/>
          <w:bCs/>
          <w:sz w:val="24"/>
          <w:szCs w:val="24"/>
        </w:rPr>
        <w:t xml:space="preserve">Таблица 2. </w:t>
      </w:r>
      <w:r w:rsidRPr="00845AF8">
        <w:rPr>
          <w:rFonts w:ascii="Arial" w:hAnsi="Arial" w:cs="Arial"/>
          <w:bCs/>
          <w:sz w:val="24"/>
          <w:szCs w:val="24"/>
        </w:rPr>
        <w:t>Основные тенденции социально-экономического развития России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1068"/>
        <w:gridCol w:w="1405"/>
        <w:gridCol w:w="1262"/>
        <w:gridCol w:w="1546"/>
        <w:gridCol w:w="1546"/>
      </w:tblGrid>
      <w:tr w:rsidR="00845AF8" w:rsidRPr="00A302E9" w:rsidTr="00845AF8">
        <w:trPr>
          <w:trHeight w:val="294"/>
          <w:tblHeader/>
        </w:trPr>
        <w:tc>
          <w:tcPr>
            <w:tcW w:w="2593" w:type="dxa"/>
            <w:vMerge w:val="restart"/>
            <w:tcBorders>
              <w:top w:val="outset" w:sz="6" w:space="0" w:color="auto"/>
              <w:left w:val="outset" w:sz="6" w:space="0" w:color="auto"/>
              <w:bottom w:val="single" w:sz="18" w:space="0" w:color="CCCCCC"/>
              <w:right w:val="outset" w:sz="6" w:space="0" w:color="auto"/>
            </w:tcBorders>
            <w:shd w:val="clear" w:color="auto" w:fill="auto"/>
            <w:tcMar>
              <w:top w:w="0" w:type="dxa"/>
              <w:left w:w="0" w:type="dxa"/>
              <w:bottom w:w="0" w:type="dxa"/>
              <w:right w:w="150" w:type="dxa"/>
            </w:tcMar>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bCs/>
                <w:sz w:val="24"/>
                <w:szCs w:val="24"/>
                <w:lang w:eastAsia="ru-RU"/>
              </w:rPr>
            </w:pPr>
            <w:r w:rsidRPr="00EB485D">
              <w:rPr>
                <w:rFonts w:ascii="Times New Roman" w:eastAsia="Times New Roman" w:hAnsi="Times New Roman" w:cs="Times New Roman"/>
                <w:bCs/>
                <w:sz w:val="24"/>
                <w:szCs w:val="24"/>
                <w:bdr w:val="none" w:sz="0" w:space="0" w:color="auto" w:frame="1"/>
                <w:lang w:eastAsia="ru-RU"/>
              </w:rPr>
              <w:t>Показатели</w:t>
            </w:r>
          </w:p>
        </w:tc>
        <w:tc>
          <w:tcPr>
            <w:tcW w:w="6591" w:type="dxa"/>
            <w:gridSpan w:val="5"/>
            <w:tcBorders>
              <w:top w:val="outset" w:sz="6" w:space="0" w:color="auto"/>
              <w:left w:val="outset" w:sz="6" w:space="0" w:color="auto"/>
              <w:bottom w:val="single" w:sz="18" w:space="0" w:color="CCCCCC"/>
              <w:right w:val="outset" w:sz="6" w:space="0" w:color="auto"/>
            </w:tcBorders>
            <w:shd w:val="clear" w:color="auto" w:fill="auto"/>
            <w:tcMar>
              <w:top w:w="0" w:type="dxa"/>
              <w:left w:w="0" w:type="dxa"/>
              <w:bottom w:w="0" w:type="dxa"/>
              <w:right w:w="150" w:type="dxa"/>
            </w:tcMar>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bCs/>
                <w:sz w:val="24"/>
                <w:szCs w:val="24"/>
                <w:lang w:eastAsia="ru-RU"/>
              </w:rPr>
            </w:pPr>
            <w:r w:rsidRPr="00EB485D">
              <w:rPr>
                <w:rFonts w:ascii="Times New Roman" w:eastAsia="Times New Roman" w:hAnsi="Times New Roman" w:cs="Times New Roman"/>
                <w:bCs/>
                <w:sz w:val="24"/>
                <w:szCs w:val="24"/>
                <w:bdr w:val="none" w:sz="0" w:space="0" w:color="auto" w:frame="1"/>
                <w:lang w:eastAsia="ru-RU"/>
              </w:rPr>
              <w:t>Значения (%)</w:t>
            </w:r>
          </w:p>
        </w:tc>
      </w:tr>
      <w:tr w:rsidR="00845AF8" w:rsidRPr="00A302E9" w:rsidTr="00845AF8">
        <w:trPr>
          <w:trHeight w:val="227"/>
          <w:tblHeader/>
        </w:trPr>
        <w:tc>
          <w:tcPr>
            <w:tcW w:w="2593" w:type="dxa"/>
            <w:vMerge/>
            <w:tcBorders>
              <w:top w:val="outset" w:sz="6" w:space="0" w:color="auto"/>
              <w:left w:val="outset" w:sz="6" w:space="0" w:color="auto"/>
              <w:bottom w:val="single" w:sz="18" w:space="0" w:color="CCCCCC"/>
              <w:right w:val="outset" w:sz="6" w:space="0" w:color="auto"/>
            </w:tcBorders>
            <w:shd w:val="clear" w:color="auto" w:fill="auto"/>
            <w:vAlign w:val="bottom"/>
            <w:hideMark/>
          </w:tcPr>
          <w:p w:rsidR="00845AF8" w:rsidRPr="00EB485D" w:rsidRDefault="00845AF8" w:rsidP="00845AF8">
            <w:pPr>
              <w:spacing w:after="0" w:line="240" w:lineRule="auto"/>
              <w:jc w:val="center"/>
              <w:rPr>
                <w:rFonts w:ascii="Times New Roman" w:eastAsia="Times New Roman" w:hAnsi="Times New Roman" w:cs="Times New Roman"/>
                <w:bCs/>
                <w:sz w:val="24"/>
                <w:szCs w:val="24"/>
                <w:lang w:eastAsia="ru-RU"/>
              </w:rPr>
            </w:pPr>
          </w:p>
        </w:tc>
        <w:tc>
          <w:tcPr>
            <w:tcW w:w="1031" w:type="dxa"/>
            <w:tcBorders>
              <w:top w:val="outset" w:sz="6" w:space="0" w:color="auto"/>
              <w:left w:val="outset" w:sz="6" w:space="0" w:color="auto"/>
              <w:bottom w:val="single" w:sz="18" w:space="0" w:color="CCCCCC"/>
              <w:right w:val="outset" w:sz="6" w:space="0" w:color="auto"/>
            </w:tcBorders>
            <w:shd w:val="clear" w:color="auto" w:fill="auto"/>
            <w:tcMar>
              <w:top w:w="0" w:type="dxa"/>
              <w:left w:w="0" w:type="dxa"/>
              <w:bottom w:w="0" w:type="dxa"/>
              <w:right w:w="150" w:type="dxa"/>
            </w:tcMar>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bCs/>
                <w:sz w:val="24"/>
                <w:szCs w:val="24"/>
                <w:lang w:eastAsia="ru-RU"/>
              </w:rPr>
            </w:pPr>
            <w:r w:rsidRPr="00EB485D">
              <w:rPr>
                <w:rFonts w:ascii="Times New Roman" w:eastAsia="Times New Roman" w:hAnsi="Times New Roman" w:cs="Times New Roman"/>
                <w:bCs/>
                <w:sz w:val="24"/>
                <w:szCs w:val="24"/>
                <w:bdr w:val="none" w:sz="0" w:space="0" w:color="auto" w:frame="1"/>
                <w:lang w:eastAsia="ru-RU"/>
              </w:rPr>
              <w:t>2014</w:t>
            </w:r>
          </w:p>
        </w:tc>
        <w:tc>
          <w:tcPr>
            <w:tcW w:w="1356" w:type="dxa"/>
            <w:tcBorders>
              <w:top w:val="outset" w:sz="6" w:space="0" w:color="auto"/>
              <w:left w:val="outset" w:sz="6" w:space="0" w:color="auto"/>
              <w:bottom w:val="single" w:sz="18" w:space="0" w:color="CCCCCC"/>
              <w:right w:val="outset" w:sz="6" w:space="0" w:color="auto"/>
            </w:tcBorders>
            <w:shd w:val="clear" w:color="auto" w:fill="auto"/>
            <w:tcMar>
              <w:top w:w="0" w:type="dxa"/>
              <w:left w:w="0" w:type="dxa"/>
              <w:bottom w:w="0" w:type="dxa"/>
              <w:right w:w="150" w:type="dxa"/>
            </w:tcMar>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bCs/>
                <w:sz w:val="24"/>
                <w:szCs w:val="24"/>
                <w:lang w:eastAsia="ru-RU"/>
              </w:rPr>
            </w:pPr>
            <w:r w:rsidRPr="00EB485D">
              <w:rPr>
                <w:rFonts w:ascii="Times New Roman" w:eastAsia="Times New Roman" w:hAnsi="Times New Roman" w:cs="Times New Roman"/>
                <w:bCs/>
                <w:sz w:val="24"/>
                <w:szCs w:val="24"/>
                <w:bdr w:val="none" w:sz="0" w:space="0" w:color="auto" w:frame="1"/>
                <w:lang w:eastAsia="ru-RU"/>
              </w:rPr>
              <w:t>2015</w:t>
            </w:r>
          </w:p>
        </w:tc>
        <w:tc>
          <w:tcPr>
            <w:tcW w:w="1218" w:type="dxa"/>
            <w:tcBorders>
              <w:top w:val="outset" w:sz="6" w:space="0" w:color="auto"/>
              <w:left w:val="outset" w:sz="6" w:space="0" w:color="auto"/>
              <w:bottom w:val="single" w:sz="18" w:space="0" w:color="CCCCCC"/>
              <w:right w:val="outset" w:sz="6" w:space="0" w:color="auto"/>
            </w:tcBorders>
            <w:shd w:val="clear" w:color="auto" w:fill="auto"/>
            <w:tcMar>
              <w:top w:w="0" w:type="dxa"/>
              <w:left w:w="0" w:type="dxa"/>
              <w:bottom w:w="0" w:type="dxa"/>
              <w:right w:w="150" w:type="dxa"/>
            </w:tcMar>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bCs/>
                <w:sz w:val="24"/>
                <w:szCs w:val="24"/>
                <w:lang w:eastAsia="ru-RU"/>
              </w:rPr>
            </w:pPr>
            <w:r w:rsidRPr="00EB485D">
              <w:rPr>
                <w:rFonts w:ascii="Times New Roman" w:eastAsia="Times New Roman" w:hAnsi="Times New Roman" w:cs="Times New Roman"/>
                <w:bCs/>
                <w:sz w:val="24"/>
                <w:szCs w:val="24"/>
                <w:bdr w:val="none" w:sz="0" w:space="0" w:color="auto" w:frame="1"/>
                <w:lang w:eastAsia="ru-RU"/>
              </w:rPr>
              <w:t>2016</w:t>
            </w:r>
          </w:p>
        </w:tc>
        <w:tc>
          <w:tcPr>
            <w:tcW w:w="1493" w:type="dxa"/>
            <w:tcBorders>
              <w:top w:val="outset" w:sz="6" w:space="0" w:color="auto"/>
              <w:left w:val="outset" w:sz="6" w:space="0" w:color="auto"/>
              <w:bottom w:val="single" w:sz="18" w:space="0" w:color="CCCCCC"/>
              <w:right w:val="outset" w:sz="6" w:space="0" w:color="auto"/>
            </w:tcBorders>
            <w:shd w:val="clear" w:color="auto" w:fill="auto"/>
            <w:tcMar>
              <w:top w:w="0" w:type="dxa"/>
              <w:left w:w="0" w:type="dxa"/>
              <w:bottom w:w="0" w:type="dxa"/>
              <w:right w:w="150" w:type="dxa"/>
            </w:tcMar>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bCs/>
                <w:sz w:val="24"/>
                <w:szCs w:val="24"/>
                <w:lang w:eastAsia="ru-RU"/>
              </w:rPr>
            </w:pPr>
            <w:r w:rsidRPr="00EB485D">
              <w:rPr>
                <w:rFonts w:ascii="Times New Roman" w:eastAsia="Times New Roman" w:hAnsi="Times New Roman" w:cs="Times New Roman"/>
                <w:bCs/>
                <w:sz w:val="24"/>
                <w:szCs w:val="24"/>
                <w:bdr w:val="none" w:sz="0" w:space="0" w:color="auto" w:frame="1"/>
                <w:lang w:eastAsia="ru-RU"/>
              </w:rPr>
              <w:t>2017</w:t>
            </w:r>
          </w:p>
        </w:tc>
        <w:tc>
          <w:tcPr>
            <w:tcW w:w="1493" w:type="dxa"/>
            <w:tcBorders>
              <w:top w:val="outset" w:sz="6" w:space="0" w:color="auto"/>
              <w:left w:val="outset" w:sz="6" w:space="0" w:color="auto"/>
              <w:bottom w:val="single" w:sz="18" w:space="0" w:color="CCCCCC"/>
              <w:right w:val="outset" w:sz="6" w:space="0" w:color="auto"/>
            </w:tcBorders>
            <w:shd w:val="clear" w:color="auto" w:fill="auto"/>
            <w:tcMar>
              <w:top w:w="0" w:type="dxa"/>
              <w:left w:w="0" w:type="dxa"/>
              <w:bottom w:w="0" w:type="dxa"/>
              <w:right w:w="150" w:type="dxa"/>
            </w:tcMar>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bCs/>
                <w:sz w:val="24"/>
                <w:szCs w:val="24"/>
                <w:lang w:eastAsia="ru-RU"/>
              </w:rPr>
            </w:pPr>
            <w:r w:rsidRPr="00EB485D">
              <w:rPr>
                <w:rFonts w:ascii="Times New Roman" w:eastAsia="Times New Roman" w:hAnsi="Times New Roman" w:cs="Times New Roman"/>
                <w:bCs/>
                <w:sz w:val="24"/>
                <w:szCs w:val="24"/>
                <w:bdr w:val="none" w:sz="0" w:space="0" w:color="auto" w:frame="1"/>
                <w:lang w:eastAsia="ru-RU"/>
              </w:rPr>
              <w:t>2018</w:t>
            </w:r>
          </w:p>
        </w:tc>
      </w:tr>
      <w:tr w:rsidR="00845AF8" w:rsidRPr="00A302E9"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ВВП</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+0,1</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-0,1</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-0,2</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+1,5</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+0,7</w:t>
            </w:r>
          </w:p>
        </w:tc>
      </w:tr>
      <w:tr w:rsidR="00845AF8" w:rsidRPr="00A302E9"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Сельское хозяйство</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+3,0</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+1,6</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+4,8</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+2,4</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+2,7</w:t>
            </w:r>
          </w:p>
        </w:tc>
      </w:tr>
      <w:tr w:rsidR="00845AF8" w:rsidRPr="00A302E9"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Розничная торговля</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+1,1</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-9,4</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-4,6</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+1,3</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+2,8</w:t>
            </w:r>
          </w:p>
        </w:tc>
      </w:tr>
      <w:tr w:rsidR="00845AF8" w:rsidRPr="00A302E9"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both"/>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Промышленное производство</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+2,4</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-0,8</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+1,3</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+1,0</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+1,0</w:t>
            </w:r>
          </w:p>
        </w:tc>
      </w:tr>
      <w:tr w:rsidR="00845AF8" w:rsidRPr="00A302E9"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both"/>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Добыча полезных ископаемых</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+1,7</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+0,7</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+2,7</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+2,0</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+1,4</w:t>
            </w:r>
          </w:p>
        </w:tc>
      </w:tr>
      <w:tr w:rsidR="00845AF8" w:rsidRPr="00A302E9"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both"/>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Обрабатывающие производства</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+3,2</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-1,3</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+0,5</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+2,0</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+4,7</w:t>
            </w:r>
          </w:p>
        </w:tc>
      </w:tr>
      <w:tr w:rsidR="00845AF8" w:rsidRPr="00A302E9"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both"/>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Экспорт</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-5,4</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-30,9</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-19,0</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+28,2</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+21,3</w:t>
            </w:r>
          </w:p>
        </w:tc>
      </w:tr>
      <w:tr w:rsidR="00845AF8" w:rsidRPr="00494EF1" w:rsidTr="00F47818">
        <w:trPr>
          <w:trHeight w:val="7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both"/>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Импорт</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-8,95</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-36,35</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-1,4</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+22,78</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+23,82</w:t>
            </w:r>
          </w:p>
        </w:tc>
      </w:tr>
      <w:tr w:rsidR="00845AF8" w:rsidRPr="00494EF1" w:rsidTr="00845AF8">
        <w:trPr>
          <w:trHeight w:val="65"/>
        </w:trPr>
        <w:tc>
          <w:tcPr>
            <w:tcW w:w="25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both"/>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Инфляция</w:t>
            </w:r>
          </w:p>
        </w:tc>
        <w:tc>
          <w:tcPr>
            <w:tcW w:w="103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+11,36</w:t>
            </w:r>
          </w:p>
        </w:tc>
        <w:tc>
          <w:tcPr>
            <w:tcW w:w="135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+12,9</w:t>
            </w:r>
          </w:p>
        </w:tc>
        <w:tc>
          <w:tcPr>
            <w:tcW w:w="121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+5,4</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+2,5</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45AF8" w:rsidRPr="00EB485D" w:rsidRDefault="00845AF8" w:rsidP="00845AF8">
            <w:pPr>
              <w:spacing w:after="0" w:line="240" w:lineRule="auto"/>
              <w:jc w:val="center"/>
              <w:textAlignment w:val="baseline"/>
              <w:rPr>
                <w:rFonts w:ascii="Times New Roman" w:eastAsia="Times New Roman" w:hAnsi="Times New Roman" w:cs="Times New Roman"/>
                <w:sz w:val="24"/>
                <w:szCs w:val="24"/>
                <w:lang w:eastAsia="ru-RU"/>
              </w:rPr>
            </w:pPr>
            <w:r w:rsidRPr="00EB485D">
              <w:rPr>
                <w:rFonts w:ascii="Times New Roman" w:eastAsia="Times New Roman" w:hAnsi="Times New Roman" w:cs="Times New Roman"/>
                <w:sz w:val="24"/>
                <w:szCs w:val="24"/>
                <w:lang w:eastAsia="ru-RU"/>
              </w:rPr>
              <w:t>+2,4</w:t>
            </w:r>
          </w:p>
        </w:tc>
      </w:tr>
    </w:tbl>
    <w:p w:rsidR="00845AF8" w:rsidRDefault="00845AF8" w:rsidP="00942434">
      <w:pPr>
        <w:spacing w:line="240" w:lineRule="auto"/>
        <w:ind w:firstLine="709"/>
        <w:jc w:val="both"/>
        <w:rPr>
          <w:rFonts w:ascii="Arial" w:hAnsi="Arial" w:cs="Arial"/>
          <w:bCs/>
          <w:sz w:val="24"/>
          <w:szCs w:val="24"/>
        </w:rPr>
      </w:pPr>
    </w:p>
    <w:p w:rsidR="00EB4E03" w:rsidRDefault="00EB4E03" w:rsidP="00942434">
      <w:pPr>
        <w:spacing w:line="240" w:lineRule="auto"/>
        <w:ind w:firstLine="709"/>
        <w:jc w:val="both"/>
        <w:rPr>
          <w:rFonts w:ascii="Arial" w:hAnsi="Arial" w:cs="Arial"/>
          <w:bCs/>
          <w:sz w:val="24"/>
          <w:szCs w:val="24"/>
        </w:rPr>
      </w:pPr>
      <w:r>
        <w:rPr>
          <w:rFonts w:ascii="Arial" w:hAnsi="Arial" w:cs="Arial"/>
          <w:bCs/>
          <w:sz w:val="24"/>
          <w:szCs w:val="24"/>
        </w:rPr>
        <w:t>Основываясь на предоставленных данных, в период 2014-2016 наблюдаем снижение темпов экономического роста, уровня промышленного производства, объема экспорта и импорта товаров.  Снижение темпов экономического роста связано с введением санкций, нестабильностью внешнеэкономических условий, снижением уровня инвестиций и цен на сырьевые ресурсы.</w:t>
      </w:r>
    </w:p>
    <w:p w:rsidR="001507EB" w:rsidRDefault="001507EB" w:rsidP="00942434">
      <w:pPr>
        <w:spacing w:line="240" w:lineRule="auto"/>
        <w:ind w:firstLine="709"/>
        <w:jc w:val="both"/>
        <w:rPr>
          <w:rFonts w:ascii="Arial" w:hAnsi="Arial" w:cs="Arial"/>
          <w:bCs/>
          <w:sz w:val="24"/>
          <w:szCs w:val="24"/>
        </w:rPr>
      </w:pPr>
      <w:r>
        <w:rPr>
          <w:rFonts w:ascii="Arial" w:hAnsi="Arial" w:cs="Arial"/>
          <w:bCs/>
          <w:noProof/>
          <w:sz w:val="24"/>
          <w:szCs w:val="24"/>
          <w:lang w:eastAsia="ru-RU"/>
        </w:rPr>
        <w:drawing>
          <wp:inline distT="0" distB="0" distL="0" distR="0" wp14:anchorId="410E4697" wp14:editId="5BB6EEFD">
            <wp:extent cx="5486400" cy="18383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07EB" w:rsidRDefault="001507EB" w:rsidP="00942434">
      <w:pPr>
        <w:spacing w:line="240" w:lineRule="auto"/>
        <w:ind w:firstLine="709"/>
        <w:jc w:val="both"/>
        <w:rPr>
          <w:rFonts w:ascii="Arial" w:hAnsi="Arial" w:cs="Arial"/>
          <w:bCs/>
          <w:sz w:val="24"/>
          <w:szCs w:val="24"/>
        </w:rPr>
      </w:pPr>
      <w:r>
        <w:rPr>
          <w:rFonts w:ascii="Arial" w:hAnsi="Arial" w:cs="Arial"/>
          <w:bCs/>
          <w:sz w:val="24"/>
          <w:szCs w:val="24"/>
        </w:rPr>
        <w:t>Рис. 2.</w:t>
      </w:r>
      <w:r w:rsidR="001D5D08">
        <w:rPr>
          <w:rFonts w:ascii="Arial" w:hAnsi="Arial" w:cs="Arial"/>
          <w:bCs/>
          <w:sz w:val="24"/>
          <w:szCs w:val="24"/>
        </w:rPr>
        <w:t xml:space="preserve"> Рост показателей на 2017 и 2018 гг, %</w:t>
      </w:r>
    </w:p>
    <w:p w:rsidR="001507EB" w:rsidRDefault="00C57BDB" w:rsidP="00942434">
      <w:pPr>
        <w:spacing w:line="240" w:lineRule="auto"/>
        <w:ind w:firstLine="709"/>
        <w:jc w:val="both"/>
        <w:rPr>
          <w:rFonts w:ascii="Arial" w:hAnsi="Arial" w:cs="Arial"/>
          <w:bCs/>
          <w:sz w:val="24"/>
          <w:szCs w:val="24"/>
        </w:rPr>
      </w:pPr>
      <w:r>
        <w:rPr>
          <w:rFonts w:ascii="Arial" w:hAnsi="Arial" w:cs="Arial"/>
          <w:bCs/>
          <w:sz w:val="24"/>
          <w:szCs w:val="24"/>
        </w:rPr>
        <w:lastRenderedPageBreak/>
        <w:t>Исходя из данных рисунка 2, все эти показатели идут на повышение на протяжении последних двух лет.</w:t>
      </w:r>
    </w:p>
    <w:p w:rsidR="00C57BDB" w:rsidRPr="00C57BDB" w:rsidRDefault="002C4D3E" w:rsidP="00C57BDB">
      <w:pPr>
        <w:spacing w:line="240" w:lineRule="auto"/>
        <w:ind w:firstLine="709"/>
        <w:jc w:val="both"/>
        <w:rPr>
          <w:rFonts w:ascii="Arial" w:hAnsi="Arial" w:cs="Arial"/>
          <w:bCs/>
          <w:sz w:val="24"/>
          <w:szCs w:val="24"/>
        </w:rPr>
      </w:pPr>
      <w:r>
        <w:rPr>
          <w:rFonts w:ascii="Arial" w:hAnsi="Arial" w:cs="Arial"/>
          <w:bCs/>
          <w:sz w:val="24"/>
          <w:szCs w:val="24"/>
        </w:rPr>
        <w:t>По результату</w:t>
      </w:r>
      <w:r w:rsidR="00C57BDB" w:rsidRPr="00C57BDB">
        <w:rPr>
          <w:rFonts w:ascii="Arial" w:hAnsi="Arial" w:cs="Arial"/>
          <w:bCs/>
          <w:sz w:val="24"/>
          <w:szCs w:val="24"/>
        </w:rPr>
        <w:t xml:space="preserve"> исследования </w:t>
      </w:r>
      <w:r>
        <w:rPr>
          <w:rFonts w:ascii="Arial" w:hAnsi="Arial" w:cs="Arial"/>
          <w:bCs/>
          <w:sz w:val="24"/>
          <w:szCs w:val="24"/>
        </w:rPr>
        <w:t>найдены текущие</w:t>
      </w:r>
      <w:r w:rsidR="00C57BDB" w:rsidRPr="00C57BDB">
        <w:rPr>
          <w:rFonts w:ascii="Arial" w:hAnsi="Arial" w:cs="Arial"/>
          <w:bCs/>
          <w:sz w:val="24"/>
          <w:szCs w:val="24"/>
        </w:rPr>
        <w:t xml:space="preserve"> основные проблемы уровня жизни населения страны:</w:t>
      </w:r>
    </w:p>
    <w:p w:rsidR="00C57BDB" w:rsidRPr="00C57BDB" w:rsidRDefault="002C4D3E" w:rsidP="00C57BDB">
      <w:pPr>
        <w:pStyle w:val="a8"/>
        <w:numPr>
          <w:ilvl w:val="0"/>
          <w:numId w:val="1"/>
        </w:numPr>
        <w:spacing w:line="240" w:lineRule="auto"/>
        <w:jc w:val="both"/>
        <w:rPr>
          <w:rFonts w:ascii="Arial" w:hAnsi="Arial" w:cs="Arial"/>
          <w:bCs/>
          <w:sz w:val="24"/>
          <w:szCs w:val="24"/>
        </w:rPr>
      </w:pPr>
      <w:r>
        <w:rPr>
          <w:rFonts w:ascii="Arial" w:hAnsi="Arial" w:cs="Arial"/>
          <w:bCs/>
          <w:sz w:val="24"/>
          <w:szCs w:val="24"/>
        </w:rPr>
        <w:t>неравенство уровня</w:t>
      </w:r>
      <w:r w:rsidR="00C57BDB" w:rsidRPr="00C57BDB">
        <w:rPr>
          <w:rFonts w:ascii="Arial" w:hAnsi="Arial" w:cs="Arial"/>
          <w:bCs/>
          <w:sz w:val="24"/>
          <w:szCs w:val="24"/>
        </w:rPr>
        <w:t xml:space="preserve"> оплаты труда между различными секторами экономики;</w:t>
      </w:r>
    </w:p>
    <w:p w:rsidR="00C57BDB" w:rsidRPr="00C57BDB" w:rsidRDefault="00C57BDB" w:rsidP="00C57BDB">
      <w:pPr>
        <w:pStyle w:val="a8"/>
        <w:numPr>
          <w:ilvl w:val="0"/>
          <w:numId w:val="1"/>
        </w:numPr>
        <w:spacing w:line="240" w:lineRule="auto"/>
        <w:jc w:val="both"/>
        <w:rPr>
          <w:rFonts w:ascii="Arial" w:hAnsi="Arial" w:cs="Arial"/>
          <w:bCs/>
          <w:sz w:val="24"/>
          <w:szCs w:val="24"/>
        </w:rPr>
      </w:pPr>
      <w:r w:rsidRPr="00C57BDB">
        <w:rPr>
          <w:rFonts w:ascii="Arial" w:hAnsi="Arial" w:cs="Arial"/>
          <w:bCs/>
          <w:sz w:val="24"/>
          <w:szCs w:val="24"/>
        </w:rPr>
        <w:t xml:space="preserve">проблемы в </w:t>
      </w:r>
      <w:r w:rsidR="002C4D3E">
        <w:rPr>
          <w:rFonts w:ascii="Arial" w:hAnsi="Arial" w:cs="Arial"/>
          <w:bCs/>
          <w:sz w:val="24"/>
          <w:szCs w:val="24"/>
        </w:rPr>
        <w:t>сфере</w:t>
      </w:r>
      <w:r w:rsidRPr="00C57BDB">
        <w:rPr>
          <w:rFonts w:ascii="Arial" w:hAnsi="Arial" w:cs="Arial"/>
          <w:bCs/>
          <w:sz w:val="24"/>
          <w:szCs w:val="24"/>
        </w:rPr>
        <w:t xml:space="preserve"> жилищно-коммунального хозяйства: </w:t>
      </w:r>
      <w:r w:rsidR="002C4D3E">
        <w:rPr>
          <w:rFonts w:ascii="Arial" w:hAnsi="Arial" w:cs="Arial"/>
          <w:bCs/>
          <w:sz w:val="24"/>
          <w:szCs w:val="24"/>
        </w:rPr>
        <w:t>повышение</w:t>
      </w:r>
      <w:r w:rsidRPr="00C57BDB">
        <w:rPr>
          <w:rFonts w:ascii="Arial" w:hAnsi="Arial" w:cs="Arial"/>
          <w:bCs/>
          <w:sz w:val="24"/>
          <w:szCs w:val="24"/>
        </w:rPr>
        <w:t xml:space="preserve"> </w:t>
      </w:r>
      <w:r w:rsidR="002C4D3E">
        <w:rPr>
          <w:rFonts w:ascii="Arial" w:hAnsi="Arial" w:cs="Arial"/>
          <w:bCs/>
          <w:sz w:val="24"/>
          <w:szCs w:val="24"/>
        </w:rPr>
        <w:t>цен на</w:t>
      </w:r>
      <w:r w:rsidRPr="00C57BDB">
        <w:rPr>
          <w:rFonts w:ascii="Arial" w:hAnsi="Arial" w:cs="Arial"/>
          <w:bCs/>
          <w:sz w:val="24"/>
          <w:szCs w:val="24"/>
        </w:rPr>
        <w:t xml:space="preserve"> коммунальны</w:t>
      </w:r>
      <w:r w:rsidR="002C4D3E">
        <w:rPr>
          <w:rFonts w:ascii="Arial" w:hAnsi="Arial" w:cs="Arial"/>
          <w:bCs/>
          <w:sz w:val="24"/>
          <w:szCs w:val="24"/>
        </w:rPr>
        <w:t>е</w:t>
      </w:r>
      <w:r w:rsidRPr="00C57BDB">
        <w:rPr>
          <w:rFonts w:ascii="Arial" w:hAnsi="Arial" w:cs="Arial"/>
          <w:bCs/>
          <w:sz w:val="24"/>
          <w:szCs w:val="24"/>
        </w:rPr>
        <w:t xml:space="preserve"> услуг</w:t>
      </w:r>
      <w:r w:rsidR="002C4D3E">
        <w:rPr>
          <w:rFonts w:ascii="Arial" w:hAnsi="Arial" w:cs="Arial"/>
          <w:bCs/>
          <w:sz w:val="24"/>
          <w:szCs w:val="24"/>
        </w:rPr>
        <w:t>и</w:t>
      </w:r>
      <w:r w:rsidRPr="00C57BDB">
        <w:rPr>
          <w:rFonts w:ascii="Arial" w:hAnsi="Arial" w:cs="Arial"/>
          <w:bCs/>
          <w:sz w:val="24"/>
          <w:szCs w:val="24"/>
        </w:rPr>
        <w:t>, высокий уровень износа жилищной и коммунальной инфраструктуры;</w:t>
      </w:r>
    </w:p>
    <w:p w:rsidR="00C57BDB" w:rsidRPr="00C57BDB" w:rsidRDefault="00C57BDB" w:rsidP="00C57BDB">
      <w:pPr>
        <w:pStyle w:val="a8"/>
        <w:numPr>
          <w:ilvl w:val="0"/>
          <w:numId w:val="1"/>
        </w:numPr>
        <w:spacing w:line="240" w:lineRule="auto"/>
        <w:jc w:val="both"/>
        <w:rPr>
          <w:rFonts w:ascii="Arial" w:hAnsi="Arial" w:cs="Arial"/>
          <w:bCs/>
          <w:sz w:val="24"/>
          <w:szCs w:val="24"/>
        </w:rPr>
      </w:pPr>
      <w:r w:rsidRPr="00C57BDB">
        <w:rPr>
          <w:rFonts w:ascii="Arial" w:hAnsi="Arial" w:cs="Arial"/>
          <w:bCs/>
          <w:sz w:val="24"/>
          <w:szCs w:val="24"/>
        </w:rPr>
        <w:t>демографические проблемы: низкий уровень рождаемости;</w:t>
      </w:r>
    </w:p>
    <w:p w:rsidR="00C57BDB" w:rsidRPr="002C4D3E" w:rsidRDefault="002C4D3E" w:rsidP="002C4D3E">
      <w:pPr>
        <w:pStyle w:val="a8"/>
        <w:numPr>
          <w:ilvl w:val="0"/>
          <w:numId w:val="1"/>
        </w:numPr>
        <w:spacing w:line="240" w:lineRule="auto"/>
        <w:jc w:val="both"/>
        <w:rPr>
          <w:rFonts w:ascii="Arial" w:hAnsi="Arial" w:cs="Arial"/>
          <w:bCs/>
          <w:sz w:val="24"/>
          <w:szCs w:val="24"/>
        </w:rPr>
      </w:pPr>
      <w:r>
        <w:rPr>
          <w:rFonts w:ascii="Arial" w:hAnsi="Arial" w:cs="Arial"/>
          <w:bCs/>
          <w:sz w:val="24"/>
          <w:szCs w:val="24"/>
        </w:rPr>
        <w:t>большая часть</w:t>
      </w:r>
      <w:r w:rsidR="00C57BDB" w:rsidRPr="00C57BDB">
        <w:rPr>
          <w:rFonts w:ascii="Arial" w:hAnsi="Arial" w:cs="Arial"/>
          <w:bCs/>
          <w:sz w:val="24"/>
          <w:szCs w:val="24"/>
        </w:rPr>
        <w:t xml:space="preserve"> малообеспеченных граждан с доходами ниже прожиточного минимума</w:t>
      </w:r>
      <w:bookmarkStart w:id="0" w:name="_GoBack"/>
      <w:bookmarkEnd w:id="0"/>
      <w:r w:rsidR="00C57BDB" w:rsidRPr="002C4D3E">
        <w:rPr>
          <w:rFonts w:ascii="Arial" w:hAnsi="Arial" w:cs="Arial"/>
          <w:bCs/>
          <w:sz w:val="24"/>
          <w:szCs w:val="24"/>
        </w:rPr>
        <w:t>.</w:t>
      </w:r>
    </w:p>
    <w:p w:rsidR="001F18BA" w:rsidRPr="001F18BA" w:rsidRDefault="001F18BA" w:rsidP="001F18BA">
      <w:pPr>
        <w:spacing w:after="0" w:line="240" w:lineRule="auto"/>
        <w:ind w:firstLine="709"/>
        <w:jc w:val="both"/>
        <w:rPr>
          <w:rFonts w:ascii="Arial" w:hAnsi="Arial" w:cs="Arial"/>
          <w:bCs/>
          <w:sz w:val="24"/>
          <w:szCs w:val="24"/>
        </w:rPr>
      </w:pPr>
      <w:r w:rsidRPr="001F18BA">
        <w:rPr>
          <w:rFonts w:ascii="Arial" w:hAnsi="Arial" w:cs="Arial"/>
          <w:bCs/>
          <w:sz w:val="24"/>
          <w:szCs w:val="24"/>
        </w:rPr>
        <w:t xml:space="preserve">Можно сказать, что в целом наметилась тенденция к повышению уровня жизни населения. </w:t>
      </w:r>
    </w:p>
    <w:p w:rsidR="00C57BDB" w:rsidRDefault="00C57BDB">
      <w:pPr>
        <w:spacing w:after="200" w:line="276" w:lineRule="auto"/>
        <w:rPr>
          <w:rFonts w:ascii="Arial" w:hAnsi="Arial" w:cs="Arial"/>
          <w:bCs/>
          <w:sz w:val="24"/>
          <w:szCs w:val="24"/>
        </w:rPr>
      </w:pPr>
      <w:r>
        <w:rPr>
          <w:rFonts w:ascii="Arial" w:hAnsi="Arial" w:cs="Arial"/>
          <w:bCs/>
          <w:sz w:val="24"/>
          <w:szCs w:val="24"/>
        </w:rPr>
        <w:br w:type="page"/>
      </w:r>
    </w:p>
    <w:p w:rsidR="00C57BDB" w:rsidRPr="002A08F7" w:rsidRDefault="00C57BDB" w:rsidP="00C57BDB">
      <w:pPr>
        <w:spacing w:line="240" w:lineRule="auto"/>
        <w:ind w:firstLine="709"/>
        <w:contextualSpacing/>
        <w:jc w:val="both"/>
        <w:rPr>
          <w:rFonts w:ascii="Arial" w:hAnsi="Arial" w:cs="Arial"/>
          <w:b/>
          <w:bCs/>
          <w:sz w:val="24"/>
          <w:szCs w:val="24"/>
        </w:rPr>
      </w:pPr>
      <w:r w:rsidRPr="002A08F7">
        <w:rPr>
          <w:rFonts w:ascii="Arial" w:hAnsi="Arial" w:cs="Arial"/>
          <w:b/>
          <w:bCs/>
          <w:sz w:val="24"/>
          <w:szCs w:val="24"/>
        </w:rPr>
        <w:lastRenderedPageBreak/>
        <w:t>СПИСОК ИСПОЛЬЗОВАННЫХ ИСТОЧНИКОВ</w:t>
      </w:r>
    </w:p>
    <w:p w:rsidR="00C57BDB" w:rsidRDefault="00C57BDB" w:rsidP="00C57BDB">
      <w:pPr>
        <w:spacing w:line="240" w:lineRule="auto"/>
        <w:jc w:val="both"/>
        <w:rPr>
          <w:rFonts w:ascii="Arial" w:hAnsi="Arial" w:cs="Arial"/>
          <w:bCs/>
          <w:sz w:val="24"/>
          <w:szCs w:val="24"/>
        </w:rPr>
      </w:pPr>
    </w:p>
    <w:p w:rsidR="001F18BA" w:rsidRPr="001F18BA" w:rsidRDefault="001F18BA" w:rsidP="001F18BA">
      <w:pPr>
        <w:pStyle w:val="a8"/>
        <w:numPr>
          <w:ilvl w:val="0"/>
          <w:numId w:val="2"/>
        </w:numPr>
        <w:rPr>
          <w:rFonts w:ascii="Arial" w:hAnsi="Arial" w:cs="Arial"/>
          <w:bCs/>
          <w:sz w:val="24"/>
          <w:szCs w:val="24"/>
        </w:rPr>
      </w:pPr>
      <w:r w:rsidRPr="001F18BA">
        <w:rPr>
          <w:rFonts w:ascii="Arial" w:hAnsi="Arial" w:cs="Arial"/>
          <w:bCs/>
          <w:sz w:val="24"/>
          <w:szCs w:val="24"/>
        </w:rPr>
        <w:t>Рейтинг социально-экономического положения субъектов РФ. Итоги 2017 г / – М.: РИА-АНАЛИТИКА, 2017.</w:t>
      </w:r>
    </w:p>
    <w:p w:rsidR="001F18BA" w:rsidRPr="001F18BA" w:rsidRDefault="001F18BA" w:rsidP="001F18BA">
      <w:pPr>
        <w:pStyle w:val="a8"/>
        <w:numPr>
          <w:ilvl w:val="0"/>
          <w:numId w:val="2"/>
        </w:numPr>
        <w:spacing w:after="0" w:line="240" w:lineRule="auto"/>
        <w:ind w:left="714" w:hanging="357"/>
        <w:jc w:val="both"/>
        <w:rPr>
          <w:rFonts w:ascii="Arial" w:hAnsi="Arial" w:cs="Arial"/>
          <w:sz w:val="24"/>
          <w:szCs w:val="24"/>
        </w:rPr>
      </w:pPr>
      <w:r w:rsidRPr="001F18BA">
        <w:rPr>
          <w:rFonts w:ascii="Arial" w:eastAsia="Times New Roman" w:hAnsi="Arial" w:cs="Arial"/>
          <w:sz w:val="24"/>
          <w:szCs w:val="24"/>
        </w:rPr>
        <w:t xml:space="preserve">Барш, Т. И. Анализ уровня жизни населения / Т. И. Барш // Новое слово в науке: перспективы развития: материалы VII Междунар. науч.–практ. конф. (Чебоксары, 15 янв. 2016 г.). В 2 т. Т. 2 / редкол.: О. Н. Широков [и др.] / Т.И. Барш – Чебоксары: ЦНС «Интерактив плюс», 2016. – № 1 (7). – С. 204–207. </w:t>
      </w:r>
    </w:p>
    <w:p w:rsidR="001F18BA" w:rsidRPr="001F18BA" w:rsidRDefault="001F18BA" w:rsidP="001F18BA">
      <w:pPr>
        <w:numPr>
          <w:ilvl w:val="0"/>
          <w:numId w:val="2"/>
        </w:numPr>
        <w:tabs>
          <w:tab w:val="left" w:pos="993"/>
        </w:tabs>
        <w:spacing w:after="0" w:line="240" w:lineRule="auto"/>
        <w:ind w:left="714" w:hanging="357"/>
        <w:contextualSpacing/>
        <w:jc w:val="both"/>
        <w:rPr>
          <w:rFonts w:ascii="Arial" w:hAnsi="Arial" w:cs="Arial"/>
          <w:sz w:val="24"/>
          <w:szCs w:val="24"/>
        </w:rPr>
      </w:pPr>
      <w:r w:rsidRPr="001F18BA">
        <w:rPr>
          <w:rFonts w:ascii="Arial" w:hAnsi="Arial" w:cs="Arial"/>
          <w:sz w:val="24"/>
          <w:szCs w:val="24"/>
        </w:rPr>
        <w:t xml:space="preserve">Гусевская, К.С. Качество жизни населения: понятие, показатели и современное состояние. </w:t>
      </w:r>
      <w:r w:rsidRPr="001F18BA">
        <w:rPr>
          <w:rFonts w:ascii="Arial" w:eastAsia="Times New Roman" w:hAnsi="Arial" w:cs="Arial"/>
          <w:sz w:val="24"/>
          <w:szCs w:val="24"/>
        </w:rPr>
        <w:t xml:space="preserve">– </w:t>
      </w:r>
      <w:r w:rsidRPr="001F18BA">
        <w:rPr>
          <w:rFonts w:ascii="Arial" w:hAnsi="Arial" w:cs="Arial"/>
          <w:sz w:val="24"/>
          <w:szCs w:val="24"/>
        </w:rPr>
        <w:t xml:space="preserve">Электрон. дан. </w:t>
      </w:r>
      <w:r w:rsidRPr="001F18BA">
        <w:rPr>
          <w:rFonts w:ascii="Arial" w:eastAsia="Times New Roman" w:hAnsi="Arial" w:cs="Arial"/>
          <w:sz w:val="24"/>
          <w:szCs w:val="24"/>
        </w:rPr>
        <w:t>– Режим доступа:</w:t>
      </w:r>
      <w:r w:rsidRPr="001F18BA">
        <w:rPr>
          <w:rFonts w:ascii="Arial" w:hAnsi="Arial" w:cs="Arial"/>
          <w:sz w:val="24"/>
          <w:szCs w:val="24"/>
        </w:rPr>
        <w:t xml:space="preserve"> </w:t>
      </w:r>
      <w:hyperlink r:id="rId9" w:history="1">
        <w:r w:rsidRPr="001F18BA">
          <w:rPr>
            <w:rFonts w:ascii="Arial" w:hAnsi="Arial" w:cs="Arial"/>
            <w:sz w:val="24"/>
            <w:szCs w:val="24"/>
          </w:rPr>
          <w:t>http://www.rae.ru/fоrum2011/14/609</w:t>
        </w:r>
      </w:hyperlink>
      <w:r w:rsidRPr="001F18BA">
        <w:rPr>
          <w:rFonts w:ascii="Arial" w:hAnsi="Arial" w:cs="Arial"/>
          <w:sz w:val="24"/>
          <w:szCs w:val="24"/>
        </w:rPr>
        <w:t xml:space="preserve">  </w:t>
      </w:r>
      <w:r w:rsidRPr="001F18BA">
        <w:rPr>
          <w:rFonts w:ascii="Arial" w:eastAsia="Times New Roman" w:hAnsi="Arial" w:cs="Arial"/>
          <w:sz w:val="24"/>
          <w:szCs w:val="24"/>
        </w:rPr>
        <w:t>(дата обращения: 20.11.2018)</w:t>
      </w:r>
    </w:p>
    <w:p w:rsidR="00C57BDB" w:rsidRPr="001F18BA" w:rsidRDefault="001F18BA" w:rsidP="001F18BA">
      <w:pPr>
        <w:pStyle w:val="a8"/>
        <w:numPr>
          <w:ilvl w:val="0"/>
          <w:numId w:val="2"/>
        </w:numPr>
        <w:spacing w:after="0" w:line="240" w:lineRule="auto"/>
        <w:ind w:left="714" w:hanging="357"/>
        <w:jc w:val="both"/>
        <w:rPr>
          <w:rFonts w:ascii="Arial" w:hAnsi="Arial" w:cs="Arial"/>
          <w:bCs/>
          <w:sz w:val="24"/>
          <w:szCs w:val="24"/>
        </w:rPr>
      </w:pPr>
      <w:r w:rsidRPr="001F18BA">
        <w:rPr>
          <w:rFonts w:ascii="Arial" w:hAnsi="Arial" w:cs="Arial"/>
          <w:sz w:val="24"/>
          <w:szCs w:val="24"/>
        </w:rPr>
        <w:t xml:space="preserve">Средняя зарплата в России. </w:t>
      </w:r>
      <w:r w:rsidRPr="001F18BA">
        <w:rPr>
          <w:rFonts w:ascii="Arial" w:eastAsia="Times New Roman" w:hAnsi="Arial" w:cs="Arial"/>
          <w:sz w:val="24"/>
          <w:szCs w:val="24"/>
        </w:rPr>
        <w:t xml:space="preserve">– </w:t>
      </w:r>
      <w:r w:rsidRPr="001F18BA">
        <w:rPr>
          <w:rFonts w:ascii="Arial" w:hAnsi="Arial" w:cs="Arial"/>
          <w:sz w:val="24"/>
          <w:szCs w:val="24"/>
        </w:rPr>
        <w:t xml:space="preserve">Электрон. дан. </w:t>
      </w:r>
      <w:r w:rsidRPr="001F18BA">
        <w:rPr>
          <w:rFonts w:ascii="Arial" w:eastAsia="Times New Roman" w:hAnsi="Arial" w:cs="Arial"/>
          <w:sz w:val="24"/>
          <w:szCs w:val="24"/>
        </w:rPr>
        <w:t>– Режим доступа</w:t>
      </w:r>
      <w:r w:rsidRPr="001F18BA">
        <w:rPr>
          <w:rFonts w:ascii="Arial" w:hAnsi="Arial" w:cs="Arial"/>
          <w:sz w:val="24"/>
          <w:szCs w:val="24"/>
        </w:rPr>
        <w:t xml:space="preserve">:  </w:t>
      </w:r>
      <w:hyperlink r:id="rId10" w:history="1">
        <w:r w:rsidRPr="001F18BA">
          <w:rPr>
            <w:rFonts w:ascii="Arial" w:hAnsi="Arial" w:cs="Arial"/>
            <w:sz w:val="24"/>
            <w:szCs w:val="24"/>
            <w:lang w:val="en-US"/>
          </w:rPr>
          <w:t>http</w:t>
        </w:r>
        <w:r w:rsidRPr="001F18BA">
          <w:rPr>
            <w:rFonts w:ascii="Arial" w:hAnsi="Arial" w:cs="Arial"/>
            <w:sz w:val="24"/>
            <w:szCs w:val="24"/>
          </w:rPr>
          <w:t>://</w:t>
        </w:r>
        <w:r w:rsidRPr="001F18BA">
          <w:rPr>
            <w:rFonts w:ascii="Arial" w:hAnsi="Arial" w:cs="Arial"/>
            <w:sz w:val="24"/>
            <w:szCs w:val="24"/>
            <w:lang w:val="en-US"/>
          </w:rPr>
          <w:t>vsezarplati</w:t>
        </w:r>
        <w:r w:rsidRPr="001F18BA">
          <w:rPr>
            <w:rFonts w:ascii="Arial" w:hAnsi="Arial" w:cs="Arial"/>
            <w:sz w:val="24"/>
            <w:szCs w:val="24"/>
          </w:rPr>
          <w:t>.</w:t>
        </w:r>
        <w:r w:rsidRPr="001F18BA">
          <w:rPr>
            <w:rFonts w:ascii="Arial" w:hAnsi="Arial" w:cs="Arial"/>
            <w:sz w:val="24"/>
            <w:szCs w:val="24"/>
            <w:lang w:val="en-US"/>
          </w:rPr>
          <w:t>ru</w:t>
        </w:r>
        <w:r w:rsidRPr="001F18BA">
          <w:rPr>
            <w:rFonts w:ascii="Arial" w:hAnsi="Arial" w:cs="Arial"/>
            <w:sz w:val="24"/>
            <w:szCs w:val="24"/>
          </w:rPr>
          <w:t>/</w:t>
        </w:r>
        <w:r w:rsidRPr="001F18BA">
          <w:rPr>
            <w:rFonts w:ascii="Arial" w:hAnsi="Arial" w:cs="Arial"/>
            <w:sz w:val="24"/>
            <w:szCs w:val="24"/>
            <w:lang w:val="en-US"/>
          </w:rPr>
          <w:t>zarab</w:t>
        </w:r>
        <w:r w:rsidRPr="001F18BA">
          <w:rPr>
            <w:rFonts w:ascii="Arial" w:hAnsi="Arial" w:cs="Arial"/>
            <w:sz w:val="24"/>
            <w:szCs w:val="24"/>
          </w:rPr>
          <w:t>о</w:t>
        </w:r>
        <w:r w:rsidRPr="001F18BA">
          <w:rPr>
            <w:rFonts w:ascii="Arial" w:hAnsi="Arial" w:cs="Arial"/>
            <w:sz w:val="24"/>
            <w:szCs w:val="24"/>
            <w:lang w:val="en-US"/>
          </w:rPr>
          <w:t>t</w:t>
        </w:r>
        <w:r w:rsidRPr="001F18BA">
          <w:rPr>
            <w:rFonts w:ascii="Arial" w:hAnsi="Arial" w:cs="Arial"/>
            <w:sz w:val="24"/>
            <w:szCs w:val="24"/>
          </w:rPr>
          <w:t>о</w:t>
        </w:r>
        <w:r w:rsidRPr="001F18BA">
          <w:rPr>
            <w:rFonts w:ascii="Arial" w:hAnsi="Arial" w:cs="Arial"/>
            <w:sz w:val="24"/>
            <w:szCs w:val="24"/>
            <w:lang w:val="en-US"/>
          </w:rPr>
          <w:t>k</w:t>
        </w:r>
        <w:r w:rsidRPr="001F18BA">
          <w:rPr>
            <w:rFonts w:ascii="Arial" w:hAnsi="Arial" w:cs="Arial"/>
            <w:sz w:val="24"/>
            <w:szCs w:val="24"/>
          </w:rPr>
          <w:t>/</w:t>
        </w:r>
        <w:r w:rsidRPr="001F18BA">
          <w:rPr>
            <w:rFonts w:ascii="Arial" w:hAnsi="Arial" w:cs="Arial"/>
            <w:sz w:val="24"/>
            <w:szCs w:val="24"/>
            <w:lang w:val="en-US"/>
          </w:rPr>
          <w:t>razmery</w:t>
        </w:r>
        <w:r w:rsidRPr="001F18BA">
          <w:rPr>
            <w:rFonts w:ascii="Arial" w:hAnsi="Arial" w:cs="Arial"/>
            <w:sz w:val="24"/>
            <w:szCs w:val="24"/>
          </w:rPr>
          <w:t>-</w:t>
        </w:r>
        <w:r w:rsidRPr="001F18BA">
          <w:rPr>
            <w:rFonts w:ascii="Arial" w:hAnsi="Arial" w:cs="Arial"/>
            <w:sz w:val="24"/>
            <w:szCs w:val="24"/>
            <w:lang w:val="en-US"/>
          </w:rPr>
          <w:t>zarplat</w:t>
        </w:r>
        <w:r w:rsidRPr="001F18BA">
          <w:rPr>
            <w:rFonts w:ascii="Arial" w:hAnsi="Arial" w:cs="Arial"/>
            <w:sz w:val="24"/>
            <w:szCs w:val="24"/>
          </w:rPr>
          <w:t>/</w:t>
        </w:r>
        <w:r w:rsidRPr="001F18BA">
          <w:rPr>
            <w:rFonts w:ascii="Arial" w:hAnsi="Arial" w:cs="Arial"/>
            <w:sz w:val="24"/>
            <w:szCs w:val="24"/>
            <w:lang w:val="en-US"/>
          </w:rPr>
          <w:t>srednyaya</w:t>
        </w:r>
        <w:r w:rsidRPr="001F18BA">
          <w:rPr>
            <w:rFonts w:ascii="Arial" w:hAnsi="Arial" w:cs="Arial"/>
            <w:sz w:val="24"/>
            <w:szCs w:val="24"/>
          </w:rPr>
          <w:t>-</w:t>
        </w:r>
        <w:r w:rsidRPr="001F18BA">
          <w:rPr>
            <w:rFonts w:ascii="Arial" w:hAnsi="Arial" w:cs="Arial"/>
            <w:sz w:val="24"/>
            <w:szCs w:val="24"/>
            <w:lang w:val="en-US"/>
          </w:rPr>
          <w:t>zarplata</w:t>
        </w:r>
        <w:r w:rsidRPr="001F18BA">
          <w:rPr>
            <w:rFonts w:ascii="Arial" w:hAnsi="Arial" w:cs="Arial"/>
            <w:sz w:val="24"/>
            <w:szCs w:val="24"/>
          </w:rPr>
          <w:t>-</w:t>
        </w:r>
        <w:r w:rsidRPr="001F18BA">
          <w:rPr>
            <w:rFonts w:ascii="Arial" w:hAnsi="Arial" w:cs="Arial"/>
            <w:sz w:val="24"/>
            <w:szCs w:val="24"/>
            <w:lang w:val="en-US"/>
          </w:rPr>
          <w:t>v</w:t>
        </w:r>
        <w:r w:rsidRPr="001F18BA">
          <w:rPr>
            <w:rFonts w:ascii="Arial" w:hAnsi="Arial" w:cs="Arial"/>
            <w:sz w:val="24"/>
            <w:szCs w:val="24"/>
          </w:rPr>
          <w:t>-</w:t>
        </w:r>
        <w:r w:rsidRPr="001F18BA">
          <w:rPr>
            <w:rFonts w:ascii="Arial" w:hAnsi="Arial" w:cs="Arial"/>
            <w:sz w:val="24"/>
            <w:szCs w:val="24"/>
            <w:lang w:val="en-US"/>
          </w:rPr>
          <w:t>rf</w:t>
        </w:r>
        <w:r w:rsidRPr="001F18BA">
          <w:rPr>
            <w:rFonts w:ascii="Arial" w:hAnsi="Arial" w:cs="Arial"/>
            <w:sz w:val="24"/>
            <w:szCs w:val="24"/>
          </w:rPr>
          <w:t>.</w:t>
        </w:r>
        <w:r w:rsidRPr="001F18BA">
          <w:rPr>
            <w:rFonts w:ascii="Arial" w:hAnsi="Arial" w:cs="Arial"/>
            <w:sz w:val="24"/>
            <w:szCs w:val="24"/>
            <w:lang w:val="en-US"/>
          </w:rPr>
          <w:t>html</w:t>
        </w:r>
      </w:hyperlink>
    </w:p>
    <w:sectPr w:rsidR="00C57BDB" w:rsidRPr="001F1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F11"/>
    <w:multiLevelType w:val="hybridMultilevel"/>
    <w:tmpl w:val="43301198"/>
    <w:lvl w:ilvl="0" w:tplc="3FAE4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86F71"/>
    <w:multiLevelType w:val="hybridMultilevel"/>
    <w:tmpl w:val="47CEFC1E"/>
    <w:lvl w:ilvl="0" w:tplc="BB6C956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55CB1FAE"/>
    <w:multiLevelType w:val="hybridMultilevel"/>
    <w:tmpl w:val="0748C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86"/>
    <w:rsid w:val="00096860"/>
    <w:rsid w:val="001111A3"/>
    <w:rsid w:val="00112186"/>
    <w:rsid w:val="001507EB"/>
    <w:rsid w:val="001A3BD6"/>
    <w:rsid w:val="001D5D08"/>
    <w:rsid w:val="001F18BA"/>
    <w:rsid w:val="002C4D3E"/>
    <w:rsid w:val="0055310C"/>
    <w:rsid w:val="00591245"/>
    <w:rsid w:val="00607113"/>
    <w:rsid w:val="006771CD"/>
    <w:rsid w:val="0072128D"/>
    <w:rsid w:val="007D5A39"/>
    <w:rsid w:val="00845AF8"/>
    <w:rsid w:val="00892C4B"/>
    <w:rsid w:val="008951E9"/>
    <w:rsid w:val="008D7EC7"/>
    <w:rsid w:val="008F4580"/>
    <w:rsid w:val="00942434"/>
    <w:rsid w:val="009731FD"/>
    <w:rsid w:val="00C12264"/>
    <w:rsid w:val="00C57BDB"/>
    <w:rsid w:val="00D333D8"/>
    <w:rsid w:val="00DB4719"/>
    <w:rsid w:val="00EB4E03"/>
    <w:rsid w:val="00F0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4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245"/>
    <w:rPr>
      <w:color w:val="0000FF" w:themeColor="hyperlink"/>
      <w:u w:val="single"/>
    </w:rPr>
  </w:style>
  <w:style w:type="table" w:styleId="a4">
    <w:name w:val="Table Grid"/>
    <w:basedOn w:val="a1"/>
    <w:uiPriority w:val="59"/>
    <w:rsid w:val="00892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D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531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310C"/>
    <w:rPr>
      <w:rFonts w:ascii="Tahoma" w:hAnsi="Tahoma" w:cs="Tahoma"/>
      <w:sz w:val="16"/>
      <w:szCs w:val="16"/>
    </w:rPr>
  </w:style>
  <w:style w:type="paragraph" w:styleId="a8">
    <w:name w:val="List Paragraph"/>
    <w:basedOn w:val="a"/>
    <w:uiPriority w:val="34"/>
    <w:qFormat/>
    <w:rsid w:val="00C57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4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245"/>
    <w:rPr>
      <w:color w:val="0000FF" w:themeColor="hyperlink"/>
      <w:u w:val="single"/>
    </w:rPr>
  </w:style>
  <w:style w:type="table" w:styleId="a4">
    <w:name w:val="Table Grid"/>
    <w:basedOn w:val="a1"/>
    <w:uiPriority w:val="59"/>
    <w:rsid w:val="00892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D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531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310C"/>
    <w:rPr>
      <w:rFonts w:ascii="Tahoma" w:hAnsi="Tahoma" w:cs="Tahoma"/>
      <w:sz w:val="16"/>
      <w:szCs w:val="16"/>
    </w:rPr>
  </w:style>
  <w:style w:type="paragraph" w:styleId="a8">
    <w:name w:val="List Paragraph"/>
    <w:basedOn w:val="a"/>
    <w:uiPriority w:val="34"/>
    <w:qFormat/>
    <w:rsid w:val="00C5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200199@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sezarplati.ru/zarabotok/razmery-zarplat/srednyaya-zarplata-v-rf.html" TargetMode="External"/><Relationship Id="rId4" Type="http://schemas.openxmlformats.org/officeDocument/2006/relationships/settings" Target="settings.xml"/><Relationship Id="rId9" Type="http://schemas.openxmlformats.org/officeDocument/2006/relationships/hyperlink" Target="http://www.rae.ru/forum2011/14/60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Псковская область</c:v>
                </c:pt>
                <c:pt idx="1">
                  <c:v>Республика Дагестан</c:v>
                </c:pt>
                <c:pt idx="2">
                  <c:v>Амурская область</c:v>
                </c:pt>
                <c:pt idx="3">
                  <c:v>Еврейская автономная область</c:v>
                </c:pt>
              </c:strCache>
            </c:strRef>
          </c:cat>
          <c:val>
            <c:numRef>
              <c:f>Лист1!$B$2:$B$5</c:f>
              <c:numCache>
                <c:formatCode>0%</c:formatCode>
                <c:ptCount val="4"/>
                <c:pt idx="0">
                  <c:v>1.79</c:v>
                </c:pt>
                <c:pt idx="1">
                  <c:v>0.73</c:v>
                </c:pt>
                <c:pt idx="2">
                  <c:v>0.53</c:v>
                </c:pt>
                <c:pt idx="3">
                  <c:v>0.53</c:v>
                </c:pt>
              </c:numCache>
            </c:numRef>
          </c:val>
        </c:ser>
        <c:dLbls>
          <c:showLegendKey val="0"/>
          <c:showVal val="0"/>
          <c:showCatName val="0"/>
          <c:showSerName val="0"/>
          <c:showPercent val="0"/>
          <c:showBubbleSize val="0"/>
        </c:dLbls>
        <c:gapWidth val="150"/>
        <c:axId val="42331136"/>
        <c:axId val="140260096"/>
      </c:barChart>
      <c:catAx>
        <c:axId val="42331136"/>
        <c:scaling>
          <c:orientation val="minMax"/>
        </c:scaling>
        <c:delete val="0"/>
        <c:axPos val="b"/>
        <c:majorTickMark val="out"/>
        <c:minorTickMark val="none"/>
        <c:tickLblPos val="nextTo"/>
        <c:crossAx val="140260096"/>
        <c:crosses val="autoZero"/>
        <c:auto val="1"/>
        <c:lblAlgn val="ctr"/>
        <c:lblOffset val="100"/>
        <c:noMultiLvlLbl val="0"/>
      </c:catAx>
      <c:valAx>
        <c:axId val="140260096"/>
        <c:scaling>
          <c:orientation val="minMax"/>
        </c:scaling>
        <c:delete val="0"/>
        <c:axPos val="l"/>
        <c:majorGridlines/>
        <c:numFmt formatCode="0%" sourceLinked="1"/>
        <c:majorTickMark val="out"/>
        <c:minorTickMark val="none"/>
        <c:tickLblPos val="nextTo"/>
        <c:crossAx val="42331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2017г</c:v>
                </c:pt>
              </c:strCache>
            </c:strRef>
          </c:tx>
          <c:invertIfNegative val="0"/>
          <c:cat>
            <c:strRef>
              <c:f>Лист1!$A$2:$A$6</c:f>
              <c:strCache>
                <c:ptCount val="5"/>
                <c:pt idx="0">
                  <c:v>ВВП</c:v>
                </c:pt>
                <c:pt idx="1">
                  <c:v>Розничная торговля</c:v>
                </c:pt>
                <c:pt idx="2">
                  <c:v>Промышленное производство</c:v>
                </c:pt>
                <c:pt idx="3">
                  <c:v>Добыча полезных ископаемых</c:v>
                </c:pt>
                <c:pt idx="4">
                  <c:v>Экспорт и импорт</c:v>
                </c:pt>
              </c:strCache>
            </c:strRef>
          </c:cat>
          <c:val>
            <c:numRef>
              <c:f>Лист1!$B$2:$B$6</c:f>
              <c:numCache>
                <c:formatCode>General</c:formatCode>
                <c:ptCount val="5"/>
                <c:pt idx="0">
                  <c:v>1.5</c:v>
                </c:pt>
                <c:pt idx="1">
                  <c:v>1.3</c:v>
                </c:pt>
                <c:pt idx="2">
                  <c:v>1</c:v>
                </c:pt>
                <c:pt idx="3">
                  <c:v>2</c:v>
                </c:pt>
                <c:pt idx="4">
                  <c:v>2</c:v>
                </c:pt>
              </c:numCache>
            </c:numRef>
          </c:val>
        </c:ser>
        <c:ser>
          <c:idx val="1"/>
          <c:order val="1"/>
          <c:tx>
            <c:strRef>
              <c:f>Лист1!$C$1</c:f>
              <c:strCache>
                <c:ptCount val="1"/>
                <c:pt idx="0">
                  <c:v>2018г</c:v>
                </c:pt>
              </c:strCache>
            </c:strRef>
          </c:tx>
          <c:invertIfNegative val="0"/>
          <c:cat>
            <c:strRef>
              <c:f>Лист1!$A$2:$A$6</c:f>
              <c:strCache>
                <c:ptCount val="5"/>
                <c:pt idx="0">
                  <c:v>ВВП</c:v>
                </c:pt>
                <c:pt idx="1">
                  <c:v>Розничная торговля</c:v>
                </c:pt>
                <c:pt idx="2">
                  <c:v>Промышленное производство</c:v>
                </c:pt>
                <c:pt idx="3">
                  <c:v>Добыча полезных ископаемых</c:v>
                </c:pt>
                <c:pt idx="4">
                  <c:v>Экспорт и импорт</c:v>
                </c:pt>
              </c:strCache>
            </c:strRef>
          </c:cat>
          <c:val>
            <c:numRef>
              <c:f>Лист1!$C$2:$C$6</c:f>
              <c:numCache>
                <c:formatCode>General</c:formatCode>
                <c:ptCount val="5"/>
                <c:pt idx="0">
                  <c:v>2.4</c:v>
                </c:pt>
                <c:pt idx="1">
                  <c:v>1.4</c:v>
                </c:pt>
                <c:pt idx="2">
                  <c:v>1.1000000000000001</c:v>
                </c:pt>
                <c:pt idx="3">
                  <c:v>2.8</c:v>
                </c:pt>
                <c:pt idx="4">
                  <c:v>2.5</c:v>
                </c:pt>
              </c:numCache>
            </c:numRef>
          </c:val>
        </c:ser>
        <c:dLbls>
          <c:showLegendKey val="0"/>
          <c:showVal val="0"/>
          <c:showCatName val="0"/>
          <c:showSerName val="0"/>
          <c:showPercent val="0"/>
          <c:showBubbleSize val="0"/>
        </c:dLbls>
        <c:gapWidth val="150"/>
        <c:axId val="140285056"/>
        <c:axId val="140286592"/>
      </c:barChart>
      <c:catAx>
        <c:axId val="140285056"/>
        <c:scaling>
          <c:orientation val="minMax"/>
        </c:scaling>
        <c:delete val="0"/>
        <c:axPos val="b"/>
        <c:majorTickMark val="out"/>
        <c:minorTickMark val="none"/>
        <c:tickLblPos val="nextTo"/>
        <c:crossAx val="140286592"/>
        <c:crosses val="autoZero"/>
        <c:auto val="1"/>
        <c:lblAlgn val="ctr"/>
        <c:lblOffset val="100"/>
        <c:noMultiLvlLbl val="0"/>
      </c:catAx>
      <c:valAx>
        <c:axId val="140286592"/>
        <c:scaling>
          <c:orientation val="minMax"/>
        </c:scaling>
        <c:delete val="0"/>
        <c:axPos val="l"/>
        <c:majorGridlines/>
        <c:numFmt formatCode="General" sourceLinked="1"/>
        <c:majorTickMark val="out"/>
        <c:minorTickMark val="none"/>
        <c:tickLblPos val="nextTo"/>
        <c:crossAx val="1402850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5</cp:revision>
  <cp:lastPrinted>2019-05-01T18:19:00Z</cp:lastPrinted>
  <dcterms:created xsi:type="dcterms:W3CDTF">2019-05-01T11:08:00Z</dcterms:created>
  <dcterms:modified xsi:type="dcterms:W3CDTF">2019-05-11T12:50:00Z</dcterms:modified>
</cp:coreProperties>
</file>