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6C" w:rsidRPr="007962D5" w:rsidRDefault="002F566C" w:rsidP="00841AC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945CEC">
        <w:rPr>
          <w:b/>
          <w:sz w:val="28"/>
          <w:szCs w:val="28"/>
        </w:rPr>
        <w:t xml:space="preserve">ИНДИКАТОРЫ СОСТОЯНИЯ ФИНАНСОВЫХ РЫНКОВ И </w:t>
      </w:r>
      <w:r w:rsidRPr="007962D5">
        <w:rPr>
          <w:b/>
          <w:sz w:val="28"/>
          <w:szCs w:val="28"/>
        </w:rPr>
        <w:t>НАПРАВЛЕНИЯ ИХ РАЗВИТИЯ</w:t>
      </w:r>
    </w:p>
    <w:p w:rsidR="007962D5" w:rsidRPr="007962D5" w:rsidRDefault="007962D5" w:rsidP="00945CEC">
      <w:pPr>
        <w:ind w:firstLine="709"/>
        <w:contextualSpacing/>
        <w:jc w:val="center"/>
        <w:rPr>
          <w:b/>
        </w:rPr>
      </w:pPr>
      <w:r w:rsidRPr="007962D5">
        <w:rPr>
          <w:b/>
        </w:rPr>
        <w:t>студенты А.А. Иванова, С.А. Зинченко</w:t>
      </w:r>
    </w:p>
    <w:p w:rsidR="007962D5" w:rsidRPr="007962D5" w:rsidRDefault="007962D5" w:rsidP="00945CEC">
      <w:pPr>
        <w:ind w:firstLine="709"/>
        <w:contextualSpacing/>
        <w:jc w:val="center"/>
        <w:rPr>
          <w:b/>
        </w:rPr>
      </w:pPr>
      <w:r w:rsidRPr="007962D5">
        <w:rPr>
          <w:b/>
        </w:rPr>
        <w:t>Смоленский филиал РЭУ им. Г.В. Плеханова</w:t>
      </w:r>
    </w:p>
    <w:p w:rsidR="00B4424C" w:rsidRPr="007962D5" w:rsidRDefault="00B4424C" w:rsidP="007962D5">
      <w:pPr>
        <w:contextualSpacing/>
        <w:rPr>
          <w:sz w:val="28"/>
          <w:szCs w:val="28"/>
        </w:rPr>
      </w:pPr>
    </w:p>
    <w:p w:rsidR="0064405F" w:rsidRDefault="00945CEC" w:rsidP="00945CEC">
      <w:pPr>
        <w:ind w:firstLine="709"/>
        <w:contextualSpacing/>
        <w:jc w:val="both"/>
        <w:rPr>
          <w:sz w:val="28"/>
          <w:szCs w:val="28"/>
        </w:rPr>
      </w:pPr>
      <w:r w:rsidRPr="007962D5">
        <w:rPr>
          <w:sz w:val="28"/>
          <w:szCs w:val="28"/>
        </w:rPr>
        <w:t>В</w:t>
      </w:r>
      <w:r w:rsidR="0064405F" w:rsidRPr="007962D5">
        <w:rPr>
          <w:sz w:val="28"/>
          <w:szCs w:val="28"/>
        </w:rPr>
        <w:t xml:space="preserve"> данной статье дается определение понятию финансового рынка и индикаторов его состояния. Приведена классификация индикаторов состояния финансовых рынков с подробным описанием</w:t>
      </w:r>
      <w:r w:rsidR="0064405F">
        <w:rPr>
          <w:sz w:val="28"/>
          <w:szCs w:val="28"/>
        </w:rPr>
        <w:t xml:space="preserve"> каждого из них. Определены направления развития наиболее часто используемых индикаторов. </w:t>
      </w:r>
    </w:p>
    <w:p w:rsidR="005700FF" w:rsidRDefault="005700FF" w:rsidP="00945CEC">
      <w:pPr>
        <w:ind w:firstLine="709"/>
        <w:contextualSpacing/>
        <w:jc w:val="both"/>
        <w:rPr>
          <w:sz w:val="28"/>
          <w:szCs w:val="28"/>
        </w:rPr>
      </w:pPr>
    </w:p>
    <w:p w:rsidR="00B4424C" w:rsidRDefault="0064405F" w:rsidP="00945CEC">
      <w:pPr>
        <w:ind w:firstLine="709"/>
        <w:contextualSpacing/>
        <w:jc w:val="both"/>
        <w:rPr>
          <w:sz w:val="28"/>
          <w:szCs w:val="28"/>
        </w:rPr>
      </w:pPr>
      <w:r w:rsidRPr="00B4424C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финансовый рынок, </w:t>
      </w:r>
      <w:r w:rsidR="00B4424C">
        <w:rPr>
          <w:sz w:val="28"/>
          <w:szCs w:val="28"/>
        </w:rPr>
        <w:t xml:space="preserve">индикаторы состояния финансовых рынков, </w:t>
      </w:r>
      <w:r>
        <w:rPr>
          <w:sz w:val="28"/>
          <w:szCs w:val="28"/>
        </w:rPr>
        <w:t xml:space="preserve"> </w:t>
      </w:r>
      <w:r w:rsidR="00B4424C">
        <w:rPr>
          <w:sz w:val="28"/>
          <w:szCs w:val="28"/>
        </w:rPr>
        <w:t xml:space="preserve">процентные ставки, денежные агрегаты, валютный курс и фондовые индексы. </w:t>
      </w:r>
    </w:p>
    <w:p w:rsidR="00945CEC" w:rsidRDefault="00945CEC" w:rsidP="00945CEC">
      <w:pPr>
        <w:ind w:firstLine="709"/>
        <w:contextualSpacing/>
        <w:jc w:val="both"/>
        <w:rPr>
          <w:sz w:val="28"/>
          <w:szCs w:val="28"/>
        </w:rPr>
      </w:pPr>
    </w:p>
    <w:p w:rsidR="00945CEC" w:rsidRPr="00841ACD" w:rsidRDefault="00945CEC" w:rsidP="00945CEC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945CEC">
        <w:rPr>
          <w:b/>
          <w:sz w:val="28"/>
          <w:szCs w:val="28"/>
          <w:lang w:val="en-US"/>
        </w:rPr>
        <w:t>INDICATORS OF THE STATE OF FINANCIAL MARKETS AND DIRECTIONS OF THEIR DEVELOPMENT</w:t>
      </w:r>
    </w:p>
    <w:p w:rsidR="00945CEC" w:rsidRDefault="007962D5" w:rsidP="00945CEC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7962D5">
        <w:rPr>
          <w:b/>
          <w:sz w:val="28"/>
          <w:szCs w:val="28"/>
          <w:lang w:val="en-US"/>
        </w:rPr>
        <w:t>students A. A. Ivanov</w:t>
      </w:r>
      <w:r w:rsidRPr="007962D5">
        <w:rPr>
          <w:b/>
          <w:sz w:val="28"/>
          <w:szCs w:val="28"/>
        </w:rPr>
        <w:t>а</w:t>
      </w:r>
      <w:r w:rsidRPr="007962D5">
        <w:rPr>
          <w:b/>
          <w:sz w:val="28"/>
          <w:szCs w:val="28"/>
          <w:lang w:val="en-US"/>
        </w:rPr>
        <w:t xml:space="preserve">, S. A. </w:t>
      </w:r>
      <w:proofErr w:type="spellStart"/>
      <w:r w:rsidRPr="007962D5">
        <w:rPr>
          <w:b/>
          <w:sz w:val="28"/>
          <w:szCs w:val="28"/>
          <w:lang w:val="en-US"/>
        </w:rPr>
        <w:t>Zinchenko</w:t>
      </w:r>
      <w:proofErr w:type="spellEnd"/>
    </w:p>
    <w:p w:rsidR="007962D5" w:rsidRDefault="007962D5" w:rsidP="00945CEC">
      <w:pPr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7962D5" w:rsidRPr="007962D5" w:rsidRDefault="007962D5" w:rsidP="00945CEC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945CEC">
        <w:rPr>
          <w:b/>
          <w:sz w:val="28"/>
          <w:szCs w:val="28"/>
          <w:lang w:val="en-US"/>
        </w:rPr>
        <w:t>Abstract</w:t>
      </w:r>
    </w:p>
    <w:p w:rsidR="00B4424C" w:rsidRPr="00841ACD" w:rsidRDefault="007962D5" w:rsidP="00945CEC">
      <w:pPr>
        <w:ind w:firstLine="709"/>
        <w:contextualSpacing/>
        <w:jc w:val="both"/>
        <w:rPr>
          <w:sz w:val="28"/>
          <w:szCs w:val="28"/>
          <w:lang w:val="en-US"/>
        </w:rPr>
      </w:pPr>
      <w:r w:rsidRPr="007962D5">
        <w:rPr>
          <w:sz w:val="28"/>
          <w:szCs w:val="28"/>
          <w:lang w:val="en-US"/>
        </w:rPr>
        <w:t>T</w:t>
      </w:r>
      <w:r w:rsidR="00B4424C" w:rsidRPr="00945CEC">
        <w:rPr>
          <w:sz w:val="28"/>
          <w:szCs w:val="28"/>
          <w:lang w:val="en-US"/>
        </w:rPr>
        <w:t>his article defines the concept of the financial market and indicators of its condition.  A classification of indicators of the state of financial markets with a detailed description of each of them is given.  The directions of development of the most commonly used indicators are determined.</w:t>
      </w:r>
    </w:p>
    <w:p w:rsidR="005700FF" w:rsidRPr="00841ACD" w:rsidRDefault="005700FF" w:rsidP="00945CEC">
      <w:pPr>
        <w:ind w:firstLine="709"/>
        <w:contextualSpacing/>
        <w:jc w:val="both"/>
        <w:rPr>
          <w:sz w:val="28"/>
          <w:szCs w:val="28"/>
          <w:lang w:val="en-US"/>
        </w:rPr>
      </w:pPr>
    </w:p>
    <w:p w:rsidR="002F566C" w:rsidRPr="00945CEC" w:rsidRDefault="00B4424C" w:rsidP="00945CEC">
      <w:pPr>
        <w:ind w:firstLine="709"/>
        <w:contextualSpacing/>
        <w:jc w:val="both"/>
        <w:rPr>
          <w:sz w:val="28"/>
          <w:szCs w:val="28"/>
          <w:lang w:val="en-US"/>
        </w:rPr>
      </w:pPr>
      <w:r w:rsidRPr="00945CEC">
        <w:rPr>
          <w:b/>
          <w:sz w:val="28"/>
          <w:szCs w:val="28"/>
          <w:lang w:val="en-US"/>
        </w:rPr>
        <w:t xml:space="preserve"> Keywords:</w:t>
      </w:r>
      <w:r w:rsidRPr="00945CEC">
        <w:rPr>
          <w:sz w:val="28"/>
          <w:szCs w:val="28"/>
          <w:lang w:val="en-US"/>
        </w:rPr>
        <w:t xml:space="preserve"> financial market, indicators of the state of financial markets, interest rates, monetary aggregates, exchange rate and stock indices.</w:t>
      </w:r>
    </w:p>
    <w:p w:rsidR="00B4424C" w:rsidRPr="00945CEC" w:rsidRDefault="00B4424C" w:rsidP="00945CEC">
      <w:pPr>
        <w:ind w:firstLine="709"/>
        <w:contextualSpacing/>
        <w:jc w:val="both"/>
        <w:rPr>
          <w:sz w:val="28"/>
          <w:szCs w:val="28"/>
          <w:lang w:val="en-US"/>
        </w:rPr>
      </w:pPr>
    </w:p>
    <w:p w:rsidR="00B735CF" w:rsidRPr="00B735CF" w:rsidRDefault="00B735CF" w:rsidP="00945CEC">
      <w:pPr>
        <w:ind w:firstLine="709"/>
        <w:contextualSpacing/>
        <w:jc w:val="both"/>
        <w:rPr>
          <w:sz w:val="28"/>
          <w:szCs w:val="28"/>
        </w:rPr>
      </w:pPr>
      <w:r w:rsidRPr="00B735CF">
        <w:rPr>
          <w:sz w:val="28"/>
          <w:szCs w:val="28"/>
        </w:rPr>
        <w:t>Финансовый рынок – это система отношений между продавцами и потребителями финансовых услуг и продуктов. Основная задача современной финансовой системы – это перемещение средств. Например, от тех у кого сейчас есть невостребованные деньги, к тем, кто сейчас</w:t>
      </w:r>
      <w:r w:rsidR="002F566C">
        <w:rPr>
          <w:sz w:val="28"/>
          <w:szCs w:val="28"/>
        </w:rPr>
        <w:t xml:space="preserve"> в них нуждается, на</w:t>
      </w:r>
      <w:r w:rsidRPr="00B735CF">
        <w:rPr>
          <w:sz w:val="28"/>
          <w:szCs w:val="28"/>
        </w:rPr>
        <w:t xml:space="preserve"> данный момент</w:t>
      </w:r>
      <w:r w:rsidR="002F566C">
        <w:rPr>
          <w:sz w:val="28"/>
          <w:szCs w:val="28"/>
        </w:rPr>
        <w:t>,</w:t>
      </w:r>
      <w:r w:rsidRPr="00B735CF">
        <w:rPr>
          <w:sz w:val="28"/>
          <w:szCs w:val="28"/>
        </w:rPr>
        <w:t xml:space="preserve"> и готов</w:t>
      </w:r>
      <w:r w:rsidR="002F566C">
        <w:rPr>
          <w:sz w:val="28"/>
          <w:szCs w:val="28"/>
        </w:rPr>
        <w:t xml:space="preserve"> их</w:t>
      </w:r>
      <w:r w:rsidRPr="00B735CF">
        <w:rPr>
          <w:sz w:val="28"/>
          <w:szCs w:val="28"/>
        </w:rPr>
        <w:t xml:space="preserve"> использовать. Для потребителя финансовые продукты подразделяются на три типа. Первый из них, взять деньги в долг. Это говорит о том, что людям доступны кредиты в банках и </w:t>
      </w:r>
      <w:proofErr w:type="spellStart"/>
      <w:r w:rsidRPr="00B735CF">
        <w:rPr>
          <w:sz w:val="28"/>
          <w:szCs w:val="28"/>
        </w:rPr>
        <w:t>микрофинансовых</w:t>
      </w:r>
      <w:proofErr w:type="spellEnd"/>
      <w:r w:rsidRPr="00B735CF">
        <w:rPr>
          <w:sz w:val="28"/>
          <w:szCs w:val="28"/>
        </w:rPr>
        <w:t xml:space="preserve"> организациях. Второй путь, вложить и приумножить деньги. То есть положить деньги на депозит, инвестировать в ценные бумаги или пенсионные накопления, это тоже разновидность финансового инструмента для долгосрочного вложения. Страхование – третий тип финансового продукта. Страхование, является своего рода защитой от любых непредвиденных ситуаций. </w:t>
      </w:r>
    </w:p>
    <w:p w:rsidR="009A427C" w:rsidRDefault="00B735CF" w:rsidP="00945CEC">
      <w:pPr>
        <w:ind w:firstLine="709"/>
        <w:contextualSpacing/>
        <w:jc w:val="both"/>
        <w:rPr>
          <w:sz w:val="28"/>
          <w:szCs w:val="28"/>
        </w:rPr>
      </w:pPr>
      <w:r w:rsidRPr="00B735CF">
        <w:rPr>
          <w:sz w:val="28"/>
          <w:szCs w:val="28"/>
        </w:rPr>
        <w:lastRenderedPageBreak/>
        <w:t>Самый простой и распространенный финансовый продукт – банковский депозит. Доходность по банковскому депозиту заранее известна и зафиксирована в договоре с банком</w:t>
      </w:r>
      <w:r>
        <w:rPr>
          <w:sz w:val="28"/>
          <w:szCs w:val="28"/>
        </w:rPr>
        <w:t xml:space="preserve">. Сам вклад страхуется, а проценты по нему освобождаются от налогов. Однако ставка по депозитам, обычно не очень высока, поэтому чтобы получать большую доходность необходимо использовать более сложные виды инвестирования. </w:t>
      </w:r>
    </w:p>
    <w:p w:rsidR="00B735CF" w:rsidRDefault="00B735CF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рынке ценных бумаг оптимальная форма инвестирования </w:t>
      </w:r>
      <w:r w:rsidR="00F869E5">
        <w:rPr>
          <w:sz w:val="28"/>
          <w:szCs w:val="28"/>
        </w:rPr>
        <w:t>небольших сумм денег – это коллективные инвестиции. Данный вариант инвестирования подходит для людей, которые не обладают специальными знаниями в данной сфере. К коллективным инвестициям могут относится, как отчисления в пенсионный фонд, так и покупка поев, паевого инвестиционного фонда. Физические лица могут торговать на бирже через финансовых посредников – брокеров. Они являются профессиональными участниками финансового рынка, их деятельность лицензируется и контролируется центральны</w:t>
      </w:r>
      <w:r w:rsidR="002F566C">
        <w:rPr>
          <w:sz w:val="28"/>
          <w:szCs w:val="28"/>
        </w:rPr>
        <w:t xml:space="preserve">м банком. </w:t>
      </w:r>
    </w:p>
    <w:p w:rsidR="00F869E5" w:rsidRDefault="00F869E5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является последним, из перечисленных, секторов финансового рынка. Самым распространенным страховым продуктом является ОСАГО. Добровольные виды страхования, страхование жизни, страхование здоровья и имущества в России куда менее распространены, но данные продукты важны для экономики и полезны людям. По мере распространения их стоимость будет падать и уже в этом случае потребитель оценит такие продукты по достоинству. Это говорит о том, что чем больше граждан приобретут полисы КАСКО, тем дешевле они будут стоить. Хотя целесообразно считать по-другому, а именно, спрос рождает предложение. Однако независимо от того, сколько полисов КАСКО будет куплено, количество дорожных происшествий остается</w:t>
      </w:r>
      <w:r w:rsidR="00B43C7C">
        <w:rPr>
          <w:sz w:val="28"/>
          <w:szCs w:val="28"/>
        </w:rPr>
        <w:t xml:space="preserve"> приблизительно на одном уровне, а значит, чем больше людей застраховано, тем меньше придется объем страховой премии на выплаты. Как итог, услуга станет дешевле, а спрос станет еще больше. </w:t>
      </w:r>
    </w:p>
    <w:p w:rsidR="00B43C7C" w:rsidRDefault="00B43C7C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рынки – это сложная и постоянно меняющаяся система, помогающая решать задачи стоящие как перед гражданами страны, так и перед современной экономикой. Для полноценного использования финансового продукта является важным знать индикаторы состояния финансовых рынков и направления их развития. </w:t>
      </w:r>
    </w:p>
    <w:p w:rsidR="002F566C" w:rsidRDefault="002F566C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индикаторами состояния финансовых рынков являются : процентные ставки, денежные агрегаты, валютный курс и фондовые индексы. </w:t>
      </w:r>
    </w:p>
    <w:p w:rsidR="002F566C" w:rsidRDefault="002F566C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Процентные ставки являются величиной относительной. Они условно показывают величину кредитных платежей за определенный период. В большинстве случаев принято принимать процентную ставку за год. </w:t>
      </w:r>
    </w:p>
    <w:p w:rsidR="000D4F82" w:rsidRDefault="00D01320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Ставки рефинансирования являются официальными ставками.  А в</w:t>
      </w:r>
      <w:r w:rsidRPr="00D01320">
        <w:rPr>
          <w:sz w:val="28"/>
          <w:szCs w:val="28"/>
        </w:rPr>
        <w:t xml:space="preserve">небиржевыми </w:t>
      </w:r>
      <w:r>
        <w:rPr>
          <w:sz w:val="28"/>
          <w:szCs w:val="28"/>
        </w:rPr>
        <w:t xml:space="preserve">процентными </w:t>
      </w:r>
      <w:r w:rsidRPr="00D01320">
        <w:rPr>
          <w:sz w:val="28"/>
          <w:szCs w:val="28"/>
        </w:rPr>
        <w:t>индикаторами являются : и</w:t>
      </w:r>
      <w:r w:rsidR="000D4F82" w:rsidRPr="00D01320">
        <w:rPr>
          <w:sz w:val="28"/>
          <w:szCs w:val="28"/>
        </w:rPr>
        <w:t xml:space="preserve">ндикаторы под </w:t>
      </w:r>
      <w:r w:rsidR="000D4F82" w:rsidRPr="00D01320">
        <w:rPr>
          <w:sz w:val="28"/>
          <w:szCs w:val="28"/>
        </w:rPr>
        <w:lastRenderedPageBreak/>
        <w:t>администрированием СРО НФА</w:t>
      </w:r>
      <w:r>
        <w:rPr>
          <w:sz w:val="28"/>
          <w:szCs w:val="28"/>
        </w:rPr>
        <w:t>,</w:t>
      </w:r>
      <w:r w:rsidR="000D4F82" w:rsidRPr="00D01320">
        <w:rPr>
          <w:sz w:val="28"/>
          <w:szCs w:val="28"/>
        </w:rPr>
        <w:t xml:space="preserve"> </w:t>
      </w:r>
      <w:proofErr w:type="spellStart"/>
      <w:r w:rsidR="000D4F82" w:rsidRPr="00D01320">
        <w:rPr>
          <w:sz w:val="28"/>
          <w:szCs w:val="28"/>
        </w:rPr>
        <w:t>MosPrime</w:t>
      </w:r>
      <w:proofErr w:type="spellEnd"/>
      <w:r w:rsidR="000D4F82" w:rsidRPr="00D01320">
        <w:rPr>
          <w:sz w:val="28"/>
          <w:szCs w:val="28"/>
        </w:rPr>
        <w:t xml:space="preserve"> </w:t>
      </w:r>
      <w:proofErr w:type="spellStart"/>
      <w:r w:rsidR="000D4F82" w:rsidRPr="00D01320">
        <w:rPr>
          <w:sz w:val="28"/>
          <w:szCs w:val="28"/>
        </w:rPr>
        <w:t>Rate</w:t>
      </w:r>
      <w:proofErr w:type="spellEnd"/>
      <w:r>
        <w:rPr>
          <w:sz w:val="28"/>
          <w:szCs w:val="28"/>
        </w:rPr>
        <w:t>,</w:t>
      </w:r>
      <w:r w:rsidR="000D4F82" w:rsidRPr="00D01320">
        <w:rPr>
          <w:sz w:val="28"/>
          <w:szCs w:val="28"/>
        </w:rPr>
        <w:t xml:space="preserve"> ROISFIX</w:t>
      </w:r>
      <w:r>
        <w:rPr>
          <w:sz w:val="28"/>
          <w:szCs w:val="28"/>
        </w:rPr>
        <w:t>,</w:t>
      </w:r>
      <w:r w:rsidR="000D4F82" w:rsidRPr="00D01320">
        <w:rPr>
          <w:sz w:val="28"/>
          <w:szCs w:val="28"/>
        </w:rPr>
        <w:t xml:space="preserve"> </w:t>
      </w:r>
      <w:proofErr w:type="spellStart"/>
      <w:r w:rsidR="000D4F82" w:rsidRPr="00D01320">
        <w:rPr>
          <w:sz w:val="28"/>
          <w:szCs w:val="28"/>
        </w:rPr>
        <w:t>RuRepo</w:t>
      </w:r>
      <w:proofErr w:type="spellEnd"/>
      <w:r>
        <w:rPr>
          <w:sz w:val="28"/>
          <w:szCs w:val="28"/>
        </w:rPr>
        <w:t>,</w:t>
      </w:r>
      <w:r w:rsidR="000D4F82" w:rsidRPr="00D01320">
        <w:rPr>
          <w:sz w:val="28"/>
          <w:szCs w:val="28"/>
        </w:rPr>
        <w:t xml:space="preserve"> RUONIA</w:t>
      </w:r>
      <w:r>
        <w:rPr>
          <w:sz w:val="28"/>
          <w:szCs w:val="28"/>
        </w:rPr>
        <w:t>,</w:t>
      </w:r>
      <w:r w:rsidR="000D4F82" w:rsidRPr="00D01320">
        <w:rPr>
          <w:sz w:val="28"/>
          <w:szCs w:val="28"/>
        </w:rPr>
        <w:t xml:space="preserve"> NFEA </w:t>
      </w:r>
      <w:proofErr w:type="spellStart"/>
      <w:r w:rsidR="000D4F82" w:rsidRPr="00D01320">
        <w:rPr>
          <w:sz w:val="28"/>
          <w:szCs w:val="28"/>
        </w:rPr>
        <w:t>Swap</w:t>
      </w:r>
      <w:proofErr w:type="spellEnd"/>
      <w:r w:rsidR="000D4F82" w:rsidRPr="00D01320">
        <w:rPr>
          <w:sz w:val="28"/>
          <w:szCs w:val="28"/>
        </w:rPr>
        <w:t xml:space="preserve"> </w:t>
      </w:r>
      <w:proofErr w:type="spellStart"/>
      <w:r w:rsidR="000D4F82" w:rsidRPr="00D01320">
        <w:rPr>
          <w:sz w:val="28"/>
          <w:szCs w:val="28"/>
        </w:rPr>
        <w:t>Rate</w:t>
      </w:r>
      <w:proofErr w:type="spellEnd"/>
      <w:r>
        <w:rPr>
          <w:sz w:val="28"/>
          <w:szCs w:val="28"/>
        </w:rPr>
        <w:t>.</w:t>
      </w:r>
    </w:p>
    <w:p w:rsidR="00EA03DF" w:rsidRDefault="002F566C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агрегаты включают в себя комплекс показателей, показывающих размер, состав и структуру </w:t>
      </w:r>
      <w:r w:rsidR="00EA03DF">
        <w:rPr>
          <w:sz w:val="28"/>
          <w:szCs w:val="28"/>
        </w:rPr>
        <w:t xml:space="preserve">денежной массы. Такие показатели в большинстве своем использует центральный банк. Руководство по денежно-кредитной и финансовой статистике объясняет тот факт, что денежные агрегаты каждой страной подбираются самостоятельно. Это говорит о том, что денежные агрегаты стран неодинаковы и подбираются для использования в макроэкономических целях основываясь на характер и специфические особенности той или иной страны. </w:t>
      </w:r>
    </w:p>
    <w:p w:rsidR="00115B2E" w:rsidRDefault="00115B2E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Денежный агрегат строится по определенному принципу. Условно он представляет вид шара, где внутри него находится самая ликвидная часть денежной массы. Ее с легкостью можно доста</w:t>
      </w:r>
      <w:r w:rsidR="00D620A8">
        <w:rPr>
          <w:sz w:val="28"/>
          <w:szCs w:val="28"/>
        </w:rPr>
        <w:t>ть для немедленного пользования. На рисунке 1. Эта область обозначена М0 и включает в себя выпущенные Центральным банком банкноты и монеты. Выше этой области располагается область М1. Денежный агрегат этой области, как и в предыдущем случае может быть использован. Однако он имеет вид М1 = М0 + Переводные депозиты. Область М2 включает в себя менее ликвидные активы и имеет вид М2= М1 + Сберегательные вклады + Срочные вклады. М3 это отдельны компоненты денежных агрегатов, они могут быть различными начиная от иностранной валюты и заканчивая ценными бумагами</w:t>
      </w:r>
      <w:r w:rsidR="00421A86">
        <w:rPr>
          <w:sz w:val="28"/>
          <w:szCs w:val="28"/>
        </w:rPr>
        <w:t xml:space="preserve"> [</w:t>
      </w:r>
      <w:r w:rsidR="006062FA">
        <w:rPr>
          <w:sz w:val="28"/>
          <w:szCs w:val="28"/>
        </w:rPr>
        <w:fldChar w:fldCharType="begin"/>
      </w:r>
      <w:r w:rsidR="00421A86">
        <w:rPr>
          <w:sz w:val="28"/>
          <w:szCs w:val="28"/>
        </w:rPr>
        <w:instrText xml:space="preserve"> REF _Ref35978493 \r \h </w:instrText>
      </w:r>
      <w:r w:rsidR="006062FA">
        <w:rPr>
          <w:sz w:val="28"/>
          <w:szCs w:val="28"/>
        </w:rPr>
      </w:r>
      <w:r w:rsidR="006062FA">
        <w:rPr>
          <w:sz w:val="28"/>
          <w:szCs w:val="28"/>
        </w:rPr>
        <w:fldChar w:fldCharType="separate"/>
      </w:r>
      <w:r w:rsidR="00421A86">
        <w:rPr>
          <w:sz w:val="28"/>
          <w:szCs w:val="28"/>
        </w:rPr>
        <w:t>3</w:t>
      </w:r>
      <w:r w:rsidR="006062FA">
        <w:rPr>
          <w:sz w:val="28"/>
          <w:szCs w:val="28"/>
        </w:rPr>
        <w:fldChar w:fldCharType="end"/>
      </w:r>
      <w:r w:rsidR="00421A86">
        <w:rPr>
          <w:sz w:val="28"/>
          <w:szCs w:val="28"/>
        </w:rPr>
        <w:t>]</w:t>
      </w:r>
      <w:r w:rsidR="00D620A8">
        <w:rPr>
          <w:sz w:val="28"/>
          <w:szCs w:val="28"/>
        </w:rPr>
        <w:t xml:space="preserve">. </w:t>
      </w:r>
    </w:p>
    <w:p w:rsidR="00D620A8" w:rsidRDefault="00D620A8" w:rsidP="00945CEC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2896" cy="147452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319" cy="14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5" w:rsidRDefault="007962D5" w:rsidP="007962D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1 -  Принцип построения денежного агрегата [</w:t>
      </w:r>
      <w:r w:rsidR="00841ACD">
        <w:fldChar w:fldCharType="begin"/>
      </w:r>
      <w:r w:rsidR="00841ACD">
        <w:instrText xml:space="preserve"> REF _Ref35978493 \r \h  \* MERGEFORMAT </w:instrText>
      </w:r>
      <w:r w:rsidR="00841ACD">
        <w:fldChar w:fldCharType="separate"/>
      </w:r>
      <w:r>
        <w:t>3</w:t>
      </w:r>
      <w:r w:rsidR="00841ACD">
        <w:fldChar w:fldCharType="end"/>
      </w:r>
      <w:r>
        <w:rPr>
          <w:sz w:val="28"/>
          <w:szCs w:val="28"/>
        </w:rPr>
        <w:t>]</w:t>
      </w:r>
    </w:p>
    <w:p w:rsidR="007962D5" w:rsidRDefault="007962D5" w:rsidP="00945CEC">
      <w:pPr>
        <w:ind w:firstLine="709"/>
        <w:contextualSpacing/>
        <w:jc w:val="center"/>
        <w:rPr>
          <w:sz w:val="28"/>
          <w:szCs w:val="28"/>
        </w:rPr>
      </w:pPr>
    </w:p>
    <w:p w:rsidR="000D4F82" w:rsidRDefault="000D4F82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Валютный курс представляет собой цену денег страны, выраженную в денежном эквиваленте других стран. Зачастую валютный курс выражен в международных валютных единицах. </w:t>
      </w:r>
      <w:r w:rsidR="00D620A8">
        <w:rPr>
          <w:sz w:val="28"/>
          <w:szCs w:val="28"/>
        </w:rPr>
        <w:t xml:space="preserve">Так как в России курс рубля не фиксированный, то это говорит о том, что страна живет в режиме плавающего курса. </w:t>
      </w:r>
    </w:p>
    <w:p w:rsidR="002F478E" w:rsidRDefault="002F478E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1775681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62D5" w:rsidRDefault="007962D5" w:rsidP="007962D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2 - Курс доллара к рублю за март месяц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_Ref35978483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]</w:t>
      </w:r>
    </w:p>
    <w:p w:rsidR="007962D5" w:rsidRDefault="007962D5" w:rsidP="00945CEC">
      <w:pPr>
        <w:ind w:firstLine="709"/>
        <w:contextualSpacing/>
        <w:jc w:val="both"/>
        <w:rPr>
          <w:sz w:val="28"/>
          <w:szCs w:val="28"/>
        </w:rPr>
      </w:pPr>
    </w:p>
    <w:p w:rsidR="00D620A8" w:rsidRDefault="00EA3436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 отчетливо подтверждает, что курс рубля плавающий, на сегодняшний день, заметно растущий. </w:t>
      </w:r>
    </w:p>
    <w:p w:rsidR="000D4F82" w:rsidRDefault="000D4F82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Фондовый индекс являются составным показателем. Он показывает курс какого-то определенного набора акций. Фондовый индекс по сути может показать объем дохода, который может быть получен при владении пакетом акций. Индекс курсов акций помогает понять, как в численном измерении, происходит движение цен набора акций по отношению к базовому значению. </w:t>
      </w:r>
    </w:p>
    <w:p w:rsidR="000D4F82" w:rsidRDefault="00D01320" w:rsidP="0094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распространенными фондовыми индексами являются: индекс Доу Джонса, Индекс </w:t>
      </w:r>
      <w:proofErr w:type="spellStart"/>
      <w:r>
        <w:rPr>
          <w:sz w:val="28"/>
          <w:szCs w:val="28"/>
        </w:rPr>
        <w:t>МосБиржи</w:t>
      </w:r>
      <w:proofErr w:type="spellEnd"/>
      <w:r>
        <w:rPr>
          <w:sz w:val="28"/>
          <w:szCs w:val="28"/>
        </w:rPr>
        <w:t xml:space="preserve"> (ранее «Индекс </w:t>
      </w:r>
      <w:r w:rsidRPr="00D01320">
        <w:rPr>
          <w:sz w:val="28"/>
          <w:szCs w:val="28"/>
        </w:rPr>
        <w:t xml:space="preserve">ММВБ») и Индекс РТС (RTSI, RTS </w:t>
      </w:r>
      <w:proofErr w:type="spellStart"/>
      <w:r w:rsidRPr="00D01320">
        <w:rPr>
          <w:sz w:val="28"/>
          <w:szCs w:val="28"/>
        </w:rPr>
        <w:t>Index</w:t>
      </w:r>
      <w:proofErr w:type="spellEnd"/>
      <w:r w:rsidRPr="00D0132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115B2E">
        <w:rPr>
          <w:sz w:val="28"/>
          <w:szCs w:val="28"/>
        </w:rPr>
        <w:t xml:space="preserve">Эти индексы могут рассчитываться в таких денежных единицах как рубли, так и доллары США. Такие индексы включают одни из самых ликвидных акций. Индекс </w:t>
      </w:r>
      <w:proofErr w:type="spellStart"/>
      <w:r w:rsidR="00115B2E">
        <w:rPr>
          <w:sz w:val="28"/>
          <w:szCs w:val="28"/>
        </w:rPr>
        <w:t>МосБиржи</w:t>
      </w:r>
      <w:proofErr w:type="spellEnd"/>
      <w:r w:rsidR="00115B2E">
        <w:rPr>
          <w:sz w:val="28"/>
          <w:szCs w:val="28"/>
        </w:rPr>
        <w:t xml:space="preserve"> используется в том случае если необходимо приостановить на законодательном уровне торги акциями на бирже Москвы. Также этот индикатор зачастую используется для построения большинства паевых инвестиционных фондов России. </w:t>
      </w:r>
    </w:p>
    <w:p w:rsidR="00115B2E" w:rsidRDefault="00C120F9" w:rsidP="00945CEC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Для того чтобы предпринимать направления развития индикаторов финансовых рынков важно осознать тот факт, что не все индикаторы требуют дальнейшего развития, а некоторые из них стребуют существенной замены на более информативные. В России наиболее часто использующимися индикаторами являются  </w:t>
      </w:r>
      <w:proofErr w:type="spellStart"/>
      <w:r w:rsidRPr="00C120F9">
        <w:rPr>
          <w:rFonts w:eastAsia="Times New Roman"/>
          <w:sz w:val="28"/>
          <w:szCs w:val="28"/>
        </w:rPr>
        <w:t>MosPrime</w:t>
      </w:r>
      <w:proofErr w:type="spellEnd"/>
      <w:r w:rsidRPr="00C120F9">
        <w:rPr>
          <w:rFonts w:eastAsia="Times New Roman"/>
          <w:sz w:val="28"/>
          <w:szCs w:val="28"/>
        </w:rPr>
        <w:t xml:space="preserve"> </w:t>
      </w:r>
      <w:proofErr w:type="spellStart"/>
      <w:r w:rsidRPr="00C120F9">
        <w:rPr>
          <w:rFonts w:eastAsia="Times New Roman"/>
          <w:sz w:val="28"/>
          <w:szCs w:val="28"/>
        </w:rPr>
        <w:t>Rate</w:t>
      </w:r>
      <w:proofErr w:type="spellEnd"/>
      <w:r w:rsidRPr="00C120F9">
        <w:rPr>
          <w:rFonts w:eastAsia="Times New Roman"/>
          <w:sz w:val="28"/>
          <w:szCs w:val="28"/>
        </w:rPr>
        <w:t xml:space="preserve"> и RUONIA</w:t>
      </w:r>
      <w:r>
        <w:rPr>
          <w:rFonts w:eastAsia="Times New Roman"/>
          <w:sz w:val="28"/>
          <w:szCs w:val="28"/>
        </w:rPr>
        <w:t xml:space="preserve">. Однако это не говорит о том, что данные индикаторы отвечают на все вопросы рынка. В случае первого индикатора, важно подчеркнуть не соответствие индикатора требованиям европейского Регламента. Это говорит о том, что данный индикатор либо требует доработки, либо замены. </w:t>
      </w:r>
      <w:r w:rsidRPr="00C120F9">
        <w:rPr>
          <w:rFonts w:eastAsia="Times New Roman"/>
          <w:sz w:val="28"/>
          <w:szCs w:val="28"/>
        </w:rPr>
        <w:t>RUONIA</w:t>
      </w:r>
      <w:r>
        <w:rPr>
          <w:rFonts w:eastAsia="Times New Roman"/>
          <w:sz w:val="28"/>
          <w:szCs w:val="28"/>
        </w:rPr>
        <w:t xml:space="preserve"> – торгуемый индикатор и он отвечает практически всем требованиям Регламента. </w:t>
      </w:r>
      <w:r w:rsidR="0064405F">
        <w:rPr>
          <w:rFonts w:eastAsia="Times New Roman"/>
          <w:sz w:val="28"/>
          <w:szCs w:val="28"/>
        </w:rPr>
        <w:t>А соответственно не требует замены, и может быть лишь немного доработан до стандарта</w:t>
      </w:r>
      <w:r w:rsidR="00421A86">
        <w:rPr>
          <w:rFonts w:eastAsia="Times New Roman"/>
          <w:sz w:val="28"/>
          <w:szCs w:val="28"/>
        </w:rPr>
        <w:t xml:space="preserve"> </w:t>
      </w:r>
      <w:r w:rsidR="00421A86" w:rsidRPr="009D326C">
        <w:rPr>
          <w:rFonts w:eastAsia="Times New Roman"/>
          <w:sz w:val="28"/>
          <w:szCs w:val="28"/>
        </w:rPr>
        <w:t>[</w:t>
      </w:r>
      <w:r w:rsidR="006062FA">
        <w:rPr>
          <w:rFonts w:eastAsia="Times New Roman"/>
          <w:sz w:val="28"/>
          <w:szCs w:val="28"/>
          <w:lang w:val="en-US"/>
        </w:rPr>
        <w:fldChar w:fldCharType="begin"/>
      </w:r>
      <w:r w:rsidR="00421A86" w:rsidRPr="009D326C">
        <w:rPr>
          <w:rFonts w:eastAsia="Times New Roman"/>
          <w:sz w:val="28"/>
          <w:szCs w:val="28"/>
        </w:rPr>
        <w:instrText xml:space="preserve"> </w:instrText>
      </w:r>
      <w:r w:rsidR="00421A86">
        <w:rPr>
          <w:rFonts w:eastAsia="Times New Roman"/>
          <w:sz w:val="28"/>
          <w:szCs w:val="28"/>
          <w:lang w:val="en-US"/>
        </w:rPr>
        <w:instrText>REF</w:instrText>
      </w:r>
      <w:r w:rsidR="00421A86" w:rsidRPr="009D326C">
        <w:rPr>
          <w:rFonts w:eastAsia="Times New Roman"/>
          <w:sz w:val="28"/>
          <w:szCs w:val="28"/>
        </w:rPr>
        <w:instrText xml:space="preserve"> _</w:instrText>
      </w:r>
      <w:r w:rsidR="00421A86">
        <w:rPr>
          <w:rFonts w:eastAsia="Times New Roman"/>
          <w:sz w:val="28"/>
          <w:szCs w:val="28"/>
          <w:lang w:val="en-US"/>
        </w:rPr>
        <w:instrText>Ref</w:instrText>
      </w:r>
      <w:r w:rsidR="00421A86" w:rsidRPr="009D326C">
        <w:rPr>
          <w:rFonts w:eastAsia="Times New Roman"/>
          <w:sz w:val="28"/>
          <w:szCs w:val="28"/>
        </w:rPr>
        <w:instrText>35978463 \</w:instrText>
      </w:r>
      <w:r w:rsidR="00421A86">
        <w:rPr>
          <w:rFonts w:eastAsia="Times New Roman"/>
          <w:sz w:val="28"/>
          <w:szCs w:val="28"/>
          <w:lang w:val="en-US"/>
        </w:rPr>
        <w:instrText>r</w:instrText>
      </w:r>
      <w:r w:rsidR="00421A86" w:rsidRPr="009D326C">
        <w:rPr>
          <w:rFonts w:eastAsia="Times New Roman"/>
          <w:sz w:val="28"/>
          <w:szCs w:val="28"/>
        </w:rPr>
        <w:instrText xml:space="preserve"> \</w:instrText>
      </w:r>
      <w:r w:rsidR="00421A86">
        <w:rPr>
          <w:rFonts w:eastAsia="Times New Roman"/>
          <w:sz w:val="28"/>
          <w:szCs w:val="28"/>
          <w:lang w:val="en-US"/>
        </w:rPr>
        <w:instrText>h</w:instrText>
      </w:r>
      <w:r w:rsidR="00421A86" w:rsidRPr="009D326C">
        <w:rPr>
          <w:rFonts w:eastAsia="Times New Roman"/>
          <w:sz w:val="28"/>
          <w:szCs w:val="28"/>
        </w:rPr>
        <w:instrText xml:space="preserve"> </w:instrText>
      </w:r>
      <w:r w:rsidR="006062FA">
        <w:rPr>
          <w:rFonts w:eastAsia="Times New Roman"/>
          <w:sz w:val="28"/>
          <w:szCs w:val="28"/>
          <w:lang w:val="en-US"/>
        </w:rPr>
      </w:r>
      <w:r w:rsidR="006062FA">
        <w:rPr>
          <w:rFonts w:eastAsia="Times New Roman"/>
          <w:sz w:val="28"/>
          <w:szCs w:val="28"/>
          <w:lang w:val="en-US"/>
        </w:rPr>
        <w:fldChar w:fldCharType="separate"/>
      </w:r>
      <w:r w:rsidR="00421A86" w:rsidRPr="009D326C">
        <w:rPr>
          <w:rFonts w:eastAsia="Times New Roman"/>
          <w:sz w:val="28"/>
          <w:szCs w:val="28"/>
        </w:rPr>
        <w:t>1</w:t>
      </w:r>
      <w:r w:rsidR="006062FA">
        <w:rPr>
          <w:rFonts w:eastAsia="Times New Roman"/>
          <w:sz w:val="28"/>
          <w:szCs w:val="28"/>
          <w:lang w:val="en-US"/>
        </w:rPr>
        <w:fldChar w:fldCharType="end"/>
      </w:r>
      <w:r w:rsidR="00421A86" w:rsidRPr="009D326C">
        <w:rPr>
          <w:rFonts w:eastAsia="Times New Roman"/>
          <w:sz w:val="28"/>
          <w:szCs w:val="28"/>
        </w:rPr>
        <w:t>]</w:t>
      </w:r>
      <w:r w:rsidR="0064405F">
        <w:rPr>
          <w:rFonts w:eastAsia="Times New Roman"/>
          <w:sz w:val="28"/>
          <w:szCs w:val="28"/>
        </w:rPr>
        <w:t xml:space="preserve">. </w:t>
      </w:r>
    </w:p>
    <w:p w:rsidR="0064405F" w:rsidRPr="0064405F" w:rsidRDefault="0064405F" w:rsidP="00945CEC">
      <w:pPr>
        <w:ind w:firstLine="709"/>
        <w:contextualSpacing/>
        <w:jc w:val="both"/>
        <w:rPr>
          <w:sz w:val="28"/>
          <w:szCs w:val="28"/>
        </w:rPr>
      </w:pPr>
      <w:r w:rsidRPr="0064405F">
        <w:rPr>
          <w:sz w:val="28"/>
          <w:szCs w:val="28"/>
        </w:rPr>
        <w:t xml:space="preserve">На сегодняшний день одним из направления развития индикаторов можно выделить такой путь при котором участникам рынка необходимо </w:t>
      </w:r>
      <w:r w:rsidRPr="0064405F">
        <w:rPr>
          <w:sz w:val="28"/>
          <w:szCs w:val="28"/>
        </w:rPr>
        <w:lastRenderedPageBreak/>
        <w:t xml:space="preserve">будет определить </w:t>
      </w:r>
      <w:r>
        <w:rPr>
          <w:sz w:val="28"/>
          <w:szCs w:val="28"/>
        </w:rPr>
        <w:t xml:space="preserve">и разработать/доработать такие индикаторы которые будут иметь наименьший риск или не иметь его вовсе. Одним из ключевых вопросов развития индикаторов могут служить вопросы технического характера, связанных с документацией по сделкам, внесениям изменений в стандарты и кредитные договоры. Также в качестве альтернативы возможно разработать качественно новые индикаторы, подходящие по стандартам и отвечающие на необходимые вопросы. </w:t>
      </w:r>
    </w:p>
    <w:p w:rsidR="00C120F9" w:rsidRPr="00115B2E" w:rsidRDefault="00C120F9" w:rsidP="00945CEC">
      <w:pPr>
        <w:rPr>
          <w:rFonts w:eastAsia="Times New Roman"/>
        </w:rPr>
      </w:pPr>
    </w:p>
    <w:p w:rsidR="00D67DD1" w:rsidRPr="007962D5" w:rsidRDefault="00430DFD" w:rsidP="007962D5">
      <w:pPr>
        <w:ind w:firstLine="709"/>
        <w:contextualSpacing/>
        <w:jc w:val="center"/>
        <w:rPr>
          <w:b/>
          <w:sz w:val="28"/>
          <w:szCs w:val="28"/>
        </w:rPr>
      </w:pPr>
      <w:r w:rsidRPr="007962D5">
        <w:rPr>
          <w:b/>
          <w:sz w:val="28"/>
          <w:szCs w:val="28"/>
        </w:rPr>
        <w:t>Список литературы</w:t>
      </w:r>
      <w:r w:rsidR="00945CEC" w:rsidRPr="007962D5">
        <w:rPr>
          <w:b/>
          <w:sz w:val="28"/>
          <w:szCs w:val="28"/>
        </w:rPr>
        <w:t>:</w:t>
      </w:r>
    </w:p>
    <w:p w:rsidR="00421A86" w:rsidRPr="007962D5" w:rsidRDefault="007962D5" w:rsidP="007962D5">
      <w:pPr>
        <w:jc w:val="both"/>
        <w:rPr>
          <w:sz w:val="28"/>
          <w:szCs w:val="28"/>
        </w:rPr>
      </w:pPr>
      <w:bookmarkStart w:id="1" w:name="_Ref35978463"/>
      <w:r>
        <w:rPr>
          <w:sz w:val="28"/>
          <w:szCs w:val="28"/>
        </w:rPr>
        <w:t xml:space="preserve">1. </w:t>
      </w:r>
      <w:r w:rsidR="00421A86" w:rsidRPr="007962D5">
        <w:rPr>
          <w:sz w:val="28"/>
          <w:szCs w:val="28"/>
        </w:rPr>
        <w:t>Доклад для общественных консультаций «О финансовых индикаторах» // Центральный Банк России. 2019. – М., 2019. – 27 с.</w:t>
      </w:r>
      <w:bookmarkEnd w:id="1"/>
    </w:p>
    <w:p w:rsidR="00421A86" w:rsidRPr="007962D5" w:rsidRDefault="007962D5" w:rsidP="007962D5">
      <w:pPr>
        <w:jc w:val="both"/>
        <w:rPr>
          <w:sz w:val="28"/>
          <w:szCs w:val="28"/>
        </w:rPr>
      </w:pPr>
      <w:bookmarkStart w:id="2" w:name="_Ref35978483"/>
      <w:r>
        <w:rPr>
          <w:sz w:val="28"/>
          <w:szCs w:val="28"/>
        </w:rPr>
        <w:t xml:space="preserve">2. </w:t>
      </w:r>
      <w:r w:rsidR="00421A86" w:rsidRPr="007962D5">
        <w:rPr>
          <w:sz w:val="28"/>
          <w:szCs w:val="28"/>
        </w:rPr>
        <w:t xml:space="preserve">Официальный сайт Центрального Банка РФ [Электронный ресурс]. Режим доступа: </w:t>
      </w:r>
      <w:r w:rsidR="00421A86" w:rsidRPr="007962D5">
        <w:rPr>
          <w:sz w:val="28"/>
          <w:szCs w:val="28"/>
          <w:lang w:val="en-US"/>
        </w:rPr>
        <w:t>https</w:t>
      </w:r>
      <w:r w:rsidR="00421A86" w:rsidRPr="007962D5">
        <w:rPr>
          <w:sz w:val="28"/>
          <w:szCs w:val="28"/>
        </w:rPr>
        <w:t>://</w:t>
      </w:r>
      <w:proofErr w:type="spellStart"/>
      <w:r w:rsidR="00421A86" w:rsidRPr="007962D5">
        <w:rPr>
          <w:sz w:val="28"/>
          <w:szCs w:val="28"/>
          <w:lang w:val="en-US"/>
        </w:rPr>
        <w:t>cbr</w:t>
      </w:r>
      <w:proofErr w:type="spellEnd"/>
      <w:r w:rsidR="00421A86" w:rsidRPr="007962D5">
        <w:rPr>
          <w:sz w:val="28"/>
          <w:szCs w:val="28"/>
        </w:rPr>
        <w:t>.</w:t>
      </w:r>
      <w:proofErr w:type="spellStart"/>
      <w:r w:rsidR="00421A86" w:rsidRPr="007962D5">
        <w:rPr>
          <w:sz w:val="28"/>
          <w:szCs w:val="28"/>
          <w:lang w:val="en-US"/>
        </w:rPr>
        <w:t>ru</w:t>
      </w:r>
      <w:proofErr w:type="spellEnd"/>
      <w:r w:rsidR="00421A86" w:rsidRPr="007962D5">
        <w:rPr>
          <w:sz w:val="28"/>
          <w:szCs w:val="28"/>
        </w:rPr>
        <w:t>/ (дата обращения 24.03.2020).</w:t>
      </w:r>
      <w:bookmarkEnd w:id="2"/>
    </w:p>
    <w:p w:rsidR="00421A86" w:rsidRPr="007962D5" w:rsidRDefault="007962D5" w:rsidP="007962D5">
      <w:pPr>
        <w:jc w:val="both"/>
        <w:rPr>
          <w:sz w:val="28"/>
          <w:szCs w:val="28"/>
        </w:rPr>
      </w:pPr>
      <w:bookmarkStart w:id="3" w:name="_Ref35978493"/>
      <w:r>
        <w:rPr>
          <w:sz w:val="28"/>
          <w:szCs w:val="28"/>
        </w:rPr>
        <w:t xml:space="preserve">3. </w:t>
      </w:r>
      <w:r w:rsidR="00421A86" w:rsidRPr="007962D5">
        <w:rPr>
          <w:sz w:val="28"/>
          <w:szCs w:val="28"/>
        </w:rPr>
        <w:t>Энциклопедия статистических терминов // Федеральная служба государственной статистики. 2011. – М., 2013. – 822 с.</w:t>
      </w:r>
      <w:bookmarkEnd w:id="3"/>
    </w:p>
    <w:p w:rsidR="00421A86" w:rsidRDefault="00421A86" w:rsidP="00421A86">
      <w:pPr>
        <w:spacing w:line="360" w:lineRule="auto"/>
        <w:jc w:val="both"/>
        <w:rPr>
          <w:sz w:val="28"/>
          <w:szCs w:val="28"/>
        </w:rPr>
      </w:pPr>
    </w:p>
    <w:p w:rsidR="00421A86" w:rsidRPr="00421A86" w:rsidRDefault="00421A86" w:rsidP="00421A86">
      <w:pPr>
        <w:spacing w:line="360" w:lineRule="auto"/>
        <w:jc w:val="both"/>
        <w:rPr>
          <w:sz w:val="28"/>
          <w:szCs w:val="28"/>
        </w:rPr>
      </w:pPr>
    </w:p>
    <w:sectPr w:rsidR="00421A86" w:rsidRPr="00421A86" w:rsidSect="00945CEC"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5D9"/>
    <w:multiLevelType w:val="hybridMultilevel"/>
    <w:tmpl w:val="64A8F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F"/>
    <w:rsid w:val="000D4F82"/>
    <w:rsid w:val="00115B2E"/>
    <w:rsid w:val="002F478E"/>
    <w:rsid w:val="002F566C"/>
    <w:rsid w:val="00421A86"/>
    <w:rsid w:val="00430DFD"/>
    <w:rsid w:val="005700FF"/>
    <w:rsid w:val="006062FA"/>
    <w:rsid w:val="006302E7"/>
    <w:rsid w:val="0064405F"/>
    <w:rsid w:val="007472E7"/>
    <w:rsid w:val="007962D5"/>
    <w:rsid w:val="007D5A3A"/>
    <w:rsid w:val="00841ACD"/>
    <w:rsid w:val="00855313"/>
    <w:rsid w:val="0094505B"/>
    <w:rsid w:val="00945CEC"/>
    <w:rsid w:val="009A427C"/>
    <w:rsid w:val="009D326C"/>
    <w:rsid w:val="00B43C7C"/>
    <w:rsid w:val="00B4424C"/>
    <w:rsid w:val="00B735CF"/>
    <w:rsid w:val="00C120F9"/>
    <w:rsid w:val="00D01320"/>
    <w:rsid w:val="00D620A8"/>
    <w:rsid w:val="00D67DD1"/>
    <w:rsid w:val="00EA03DF"/>
    <w:rsid w:val="00EA3436"/>
    <w:rsid w:val="00EA5C15"/>
    <w:rsid w:val="00F50B7F"/>
    <w:rsid w:val="00F8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719"/>
  <w15:docId w15:val="{46B4608D-44C0-46E9-B45F-2A2B639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CE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A5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доллара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66.990900000000025</c:v>
                </c:pt>
                <c:pt idx="1">
                  <c:v>66.327399999999983</c:v>
                </c:pt>
                <c:pt idx="2">
                  <c:v>66.443700000000007</c:v>
                </c:pt>
                <c:pt idx="3">
                  <c:v>66.078399999999959</c:v>
                </c:pt>
                <c:pt idx="4">
                  <c:v>66.185399999999959</c:v>
                </c:pt>
                <c:pt idx="5">
                  <c:v>67.517500000000027</c:v>
                </c:pt>
                <c:pt idx="6">
                  <c:v>67.517500000000027</c:v>
                </c:pt>
                <c:pt idx="7">
                  <c:v>67.517500000000027</c:v>
                </c:pt>
                <c:pt idx="8">
                  <c:v>67.517500000000027</c:v>
                </c:pt>
                <c:pt idx="9">
                  <c:v>72.02079999999998</c:v>
                </c:pt>
                <c:pt idx="10">
                  <c:v>71.471999999999994</c:v>
                </c:pt>
                <c:pt idx="11">
                  <c:v>74.0274</c:v>
                </c:pt>
                <c:pt idx="12">
                  <c:v>73.188199999999981</c:v>
                </c:pt>
                <c:pt idx="13">
                  <c:v>73.188199999999981</c:v>
                </c:pt>
                <c:pt idx="14">
                  <c:v>73.188199999999981</c:v>
                </c:pt>
                <c:pt idx="15">
                  <c:v>74.126199999999983</c:v>
                </c:pt>
                <c:pt idx="16">
                  <c:v>73.889600000000002</c:v>
                </c:pt>
                <c:pt idx="17">
                  <c:v>77.213100000000026</c:v>
                </c:pt>
                <c:pt idx="18">
                  <c:v>80.156999999999982</c:v>
                </c:pt>
                <c:pt idx="19">
                  <c:v>78.044300000000007</c:v>
                </c:pt>
                <c:pt idx="20">
                  <c:v>78.044300000000007</c:v>
                </c:pt>
                <c:pt idx="21">
                  <c:v>78.044300000000007</c:v>
                </c:pt>
                <c:pt idx="22">
                  <c:v>80.881500000000003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9B-4F3E-854E-57ECEDC13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874112"/>
        <c:axId val="79011840"/>
      </c:lineChart>
      <c:catAx>
        <c:axId val="788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011840"/>
        <c:crosses val="autoZero"/>
        <c:auto val="1"/>
        <c:lblAlgn val="ctr"/>
        <c:lblOffset val="100"/>
        <c:noMultiLvlLbl val="0"/>
      </c:catAx>
      <c:valAx>
        <c:axId val="79011840"/>
        <c:scaling>
          <c:orientation val="minMax"/>
          <c:max val="85"/>
          <c:min val="6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HP</cp:lastModifiedBy>
  <cp:revision>2</cp:revision>
  <dcterms:created xsi:type="dcterms:W3CDTF">2020-06-18T08:07:00Z</dcterms:created>
  <dcterms:modified xsi:type="dcterms:W3CDTF">2020-06-18T08:07:00Z</dcterms:modified>
</cp:coreProperties>
</file>